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Title"/>
        <w:spacing w:line="259" w:lineRule="auto"/>
        <w:ind w:right="143"/>
      </w:pPr>
      <w:r>
        <w:t>SEND</w:t>
      </w:r>
      <w:r>
        <w:rPr>
          <w:spacing w:val="-8"/>
        </w:rPr>
        <w:t xml:space="preserve"> </w:t>
      </w:r>
      <w:r>
        <w:t>Information</w:t>
      </w:r>
      <w:r>
        <w:rPr>
          <w:spacing w:val="-7"/>
        </w:rPr>
        <w:t xml:space="preserve"> </w:t>
      </w:r>
      <w:r>
        <w:t>Report</w:t>
      </w:r>
      <w:r>
        <w:rPr>
          <w:spacing w:val="-4"/>
        </w:rPr>
        <w:t xml:space="preserve"> </w:t>
      </w:r>
      <w:r>
        <w:t>for</w:t>
      </w:r>
      <w:r>
        <w:rPr>
          <w:spacing w:val="-7"/>
        </w:rPr>
        <w:t xml:space="preserve"> </w:t>
      </w:r>
      <w:r>
        <w:t>Education</w:t>
      </w:r>
      <w:r>
        <w:rPr>
          <w:spacing w:val="-7"/>
        </w:rPr>
        <w:t xml:space="preserve"> </w:t>
      </w:r>
      <w:r>
        <w:t>Other</w:t>
      </w:r>
      <w:r>
        <w:rPr>
          <w:spacing w:val="-5"/>
        </w:rPr>
        <w:t xml:space="preserve"> </w:t>
      </w:r>
      <w:r>
        <w:t>Than</w:t>
      </w:r>
      <w:r>
        <w:rPr>
          <w:spacing w:val="-6"/>
        </w:rPr>
        <w:t xml:space="preserve"> </w:t>
      </w:r>
      <w:r>
        <w:t>at School (EOTAS) Swindon</w:t>
      </w:r>
    </w:p>
    <w:p>
      <w:pPr>
        <w:pStyle w:val="Title"/>
        <w:spacing w:before="158"/>
      </w:pPr>
      <w:r>
        <w:rPr>
          <w:spacing w:val="-2"/>
        </w:rPr>
        <w:t>Reviewed</w:t>
      </w:r>
    </w:p>
    <w:p>
      <w:pPr>
        <w:pStyle w:val="BodyText"/>
        <w:spacing w:before="76"/>
        <w:ind w:left="0"/>
        <w:rPr>
          <w:b/>
          <w:bCs/>
          <w:sz w:val="32"/>
          <w:szCs w:val="32"/>
        </w:rPr>
      </w:pPr>
    </w:p>
    <w:p>
      <w:pPr>
        <w:pStyle w:val="BodyText"/>
        <w:spacing w:line="259" w:lineRule="auto"/>
        <w:ind w:right="143"/>
      </w:pPr>
      <w:r>
        <w:t>The aim of this SEND Information Report is to give clear, easy to access information</w:t>
      </w:r>
      <w:r>
        <w:rPr>
          <w:spacing w:val="-2"/>
        </w:rPr>
        <w:t xml:space="preserve"> </w:t>
      </w:r>
      <w:r>
        <w:t>about</w:t>
      </w:r>
      <w:r>
        <w:rPr>
          <w:spacing w:val="-5"/>
        </w:rPr>
        <w:t xml:space="preserve"> </w:t>
      </w:r>
      <w:r>
        <w:t>how</w:t>
      </w:r>
      <w:r>
        <w:rPr>
          <w:spacing w:val="-1"/>
        </w:rPr>
        <w:t xml:space="preserve"> </w:t>
      </w:r>
      <w:r>
        <w:t>pupils</w:t>
      </w:r>
      <w:r>
        <w:rPr>
          <w:spacing w:val="-4"/>
        </w:rPr>
        <w:t xml:space="preserve"> </w:t>
      </w:r>
      <w:r>
        <w:t>with</w:t>
      </w:r>
      <w:r>
        <w:rPr>
          <w:spacing w:val="-2"/>
        </w:rPr>
        <w:t xml:space="preserve"> </w:t>
      </w:r>
      <w:r>
        <w:t>SEND</w:t>
      </w:r>
      <w:r>
        <w:rPr>
          <w:spacing w:val="-3"/>
        </w:rPr>
        <w:t xml:space="preserve"> </w:t>
      </w:r>
      <w:r>
        <w:t>are</w:t>
      </w:r>
      <w:r>
        <w:rPr>
          <w:spacing w:val="-2"/>
        </w:rPr>
        <w:t xml:space="preserve"> </w:t>
      </w:r>
      <w:r>
        <w:t>supported</w:t>
      </w:r>
      <w:r>
        <w:rPr>
          <w:spacing w:val="-2"/>
        </w:rPr>
        <w:t xml:space="preserve"> </w:t>
      </w:r>
      <w:r>
        <w:t>within EOTAS</w:t>
      </w:r>
      <w:r>
        <w:rPr>
          <w:spacing w:val="-2"/>
        </w:rPr>
        <w:t xml:space="preserve"> </w:t>
      </w:r>
      <w:r>
        <w:t>Swindon. Information is included about how SEND are identified and supported and how progress towards outcomes is monitored.</w:t>
      </w:r>
      <w:r>
        <w:rPr>
          <w:spacing w:val="40"/>
        </w:rPr>
        <w:t xml:space="preserve"> </w:t>
      </w:r>
      <w:r>
        <w:t>EOTAS SEND Support is in-line with the Children and Families Act (2014) and the SEND Code of Practice (2015.)</w:t>
      </w:r>
      <w:r>
        <w:rPr>
          <w:spacing w:val="40"/>
        </w:rPr>
        <w:t xml:space="preserve"> </w:t>
      </w:r>
      <w:r>
        <w:t>EOTAS</w:t>
      </w:r>
      <w:r>
        <w:rPr>
          <w:spacing w:val="-3"/>
        </w:rPr>
        <w:t xml:space="preserve"> </w:t>
      </w:r>
      <w:r>
        <w:t>follows</w:t>
      </w:r>
      <w:r>
        <w:rPr>
          <w:spacing w:val="-3"/>
        </w:rPr>
        <w:t xml:space="preserve"> </w:t>
      </w:r>
      <w:r>
        <w:t>the</w:t>
      </w:r>
      <w:r>
        <w:rPr>
          <w:spacing w:val="-3"/>
        </w:rPr>
        <w:t xml:space="preserve"> </w:t>
      </w:r>
      <w:r>
        <w:t>Assess –</w:t>
      </w:r>
      <w:r>
        <w:rPr>
          <w:spacing w:val="-3"/>
        </w:rPr>
        <w:t xml:space="preserve"> </w:t>
      </w:r>
      <w:r>
        <w:t>Plan</w:t>
      </w:r>
      <w:r>
        <w:rPr>
          <w:spacing w:val="-2"/>
        </w:rPr>
        <w:t xml:space="preserve"> </w:t>
      </w:r>
      <w:r>
        <w:t>–</w:t>
      </w:r>
      <w:r>
        <w:rPr>
          <w:spacing w:val="-4"/>
        </w:rPr>
        <w:t xml:space="preserve"> </w:t>
      </w:r>
      <w:r>
        <w:t>Do</w:t>
      </w:r>
      <w:r>
        <w:rPr>
          <w:spacing w:val="-4"/>
        </w:rPr>
        <w:t xml:space="preserve"> </w:t>
      </w:r>
      <w:r>
        <w:t>–</w:t>
      </w:r>
      <w:r>
        <w:rPr>
          <w:spacing w:val="-2"/>
        </w:rPr>
        <w:t xml:space="preserve"> </w:t>
      </w:r>
      <w:r>
        <w:t>Review</w:t>
      </w:r>
      <w:r>
        <w:rPr>
          <w:spacing w:val="-2"/>
        </w:rPr>
        <w:t xml:space="preserve"> </w:t>
      </w:r>
      <w:r>
        <w:t>approach</w:t>
      </w:r>
      <w:r>
        <w:rPr>
          <w:spacing w:val="-3"/>
        </w:rPr>
        <w:t xml:space="preserve"> </w:t>
      </w:r>
      <w:r>
        <w:t>as</w:t>
      </w:r>
      <w:r>
        <w:rPr>
          <w:spacing w:val="-3"/>
        </w:rPr>
        <w:t xml:space="preserve"> </w:t>
      </w:r>
      <w:r>
        <w:t>outlined</w:t>
      </w:r>
      <w:r>
        <w:rPr>
          <w:spacing w:val="-3"/>
        </w:rPr>
        <w:t xml:space="preserve"> </w:t>
      </w:r>
      <w:r>
        <w:t>in the Code of Practice.</w:t>
      </w:r>
    </w:p>
    <w:p>
      <w:pPr>
        <w:pStyle w:val="BodyText"/>
        <w:spacing w:before="159" w:line="259" w:lineRule="auto"/>
        <w:ind w:right="228"/>
      </w:pPr>
      <w:r>
        <w:t>Please</w:t>
      </w:r>
      <w:r>
        <w:rPr>
          <w:spacing w:val="-3"/>
        </w:rPr>
        <w:t xml:space="preserve"> </w:t>
      </w:r>
      <w:r>
        <w:t>see</w:t>
      </w:r>
      <w:r>
        <w:rPr>
          <w:spacing w:val="-3"/>
        </w:rPr>
        <w:t xml:space="preserve"> </w:t>
      </w:r>
      <w:r>
        <w:t>the</w:t>
      </w:r>
      <w:r>
        <w:rPr>
          <w:spacing w:val="-3"/>
        </w:rPr>
        <w:t xml:space="preserve"> </w:t>
      </w:r>
      <w:r>
        <w:t>EOTAS</w:t>
      </w:r>
      <w:r>
        <w:rPr>
          <w:spacing w:val="-3"/>
        </w:rPr>
        <w:t xml:space="preserve"> </w:t>
      </w:r>
      <w:r>
        <w:t>SEND</w:t>
      </w:r>
      <w:r>
        <w:rPr>
          <w:spacing w:val="-4"/>
        </w:rPr>
        <w:t xml:space="preserve"> </w:t>
      </w:r>
      <w:r>
        <w:t>Policy</w:t>
      </w:r>
      <w:r>
        <w:rPr>
          <w:spacing w:val="-5"/>
        </w:rPr>
        <w:t xml:space="preserve"> </w:t>
      </w:r>
      <w:r>
        <w:t>for</w:t>
      </w:r>
      <w:r>
        <w:rPr>
          <w:spacing w:val="-3"/>
        </w:rPr>
        <w:t xml:space="preserve"> </w:t>
      </w:r>
      <w:r>
        <w:t>further</w:t>
      </w:r>
      <w:r>
        <w:rPr>
          <w:spacing w:val="-3"/>
        </w:rPr>
        <w:t xml:space="preserve"> </w:t>
      </w:r>
      <w:r>
        <w:t>information</w:t>
      </w:r>
      <w:r>
        <w:rPr>
          <w:spacing w:val="-3"/>
        </w:rPr>
        <w:t xml:space="preserve"> </w:t>
      </w:r>
      <w:r>
        <w:t>on</w:t>
      </w:r>
      <w:r>
        <w:rPr>
          <w:spacing w:val="-3"/>
        </w:rPr>
        <w:t xml:space="preserve"> </w:t>
      </w:r>
      <w:r>
        <w:t>support</w:t>
      </w:r>
      <w:r>
        <w:rPr>
          <w:spacing w:val="-6"/>
        </w:rPr>
        <w:t xml:space="preserve"> </w:t>
      </w:r>
      <w:r>
        <w:t>for</w:t>
      </w:r>
      <w:r>
        <w:rPr>
          <w:spacing w:val="-3"/>
        </w:rPr>
        <w:t xml:space="preserve"> </w:t>
      </w:r>
      <w:r>
        <w:t>SEND within EOTAS.</w:t>
      </w:r>
      <w:r>
        <w:rPr>
          <w:spacing w:val="40"/>
        </w:rPr>
        <w:t xml:space="preserve"> </w:t>
      </w:r>
      <w:r>
        <w:t>For more information on policy relating to SEND and services available to support children and young people with SEND in Swindon, please see the Swindon SEND Local Offer:</w:t>
      </w:r>
    </w:p>
    <w:p>
      <w:pPr>
        <w:pStyle w:val="BodyText"/>
        <w:spacing w:before="159"/>
      </w:pPr>
      <w:hyperlink r:id="rId7">
        <w:r>
          <w:rPr>
            <w:color w:val="0462C1"/>
            <w:spacing w:val="-2"/>
            <w:u w:val="single" w:color="0462C1"/>
          </w:rPr>
          <w:t>https://localoffer.swindon.gov.uk/home/</w:t>
        </w:r>
      </w:hyperlink>
    </w:p>
    <w:p>
      <w:pPr>
        <w:pStyle w:val="BodyText"/>
        <w:spacing w:before="319"/>
        <w:ind w:left="0"/>
        <w:rPr>
          <w:sz w:val="28"/>
        </w:rPr>
      </w:pPr>
    </w:p>
    <w:p>
      <w:pPr>
        <w:pStyle w:val="Heading1"/>
      </w:pPr>
      <w:r>
        <w:t>The</w:t>
      </w:r>
      <w:r>
        <w:rPr>
          <w:spacing w:val="-3"/>
        </w:rPr>
        <w:t xml:space="preserve"> </w:t>
      </w:r>
      <w:r>
        <w:t>EOTAS</w:t>
      </w:r>
      <w:r>
        <w:rPr>
          <w:spacing w:val="-5"/>
        </w:rPr>
        <w:t xml:space="preserve"> </w:t>
      </w:r>
      <w:r>
        <w:t>SEND</w:t>
      </w:r>
      <w:r>
        <w:rPr>
          <w:spacing w:val="-2"/>
        </w:rPr>
        <w:t xml:space="preserve"> </w:t>
      </w:r>
      <w:r>
        <w:rPr>
          <w:spacing w:val="-4"/>
        </w:rPr>
        <w:t>Team</w:t>
      </w:r>
    </w:p>
    <w:p>
      <w:pPr>
        <w:pStyle w:val="BodyText"/>
        <w:spacing w:before="186" w:line="259" w:lineRule="auto"/>
        <w:ind w:right="143"/>
      </w:pPr>
      <w:r>
        <w:t xml:space="preserve">The SENDCo works across all EOTAS sites and can be contacted on </w:t>
      </w:r>
      <w:hyperlink r:id="rId8">
        <w:r>
          <w:rPr>
            <w:rFonts w:ascii="Calibri"/>
            <w:color w:val="0462C1"/>
            <w:u w:val="single" w:color="0462C1"/>
          </w:rPr>
          <w:t>senco</w:t>
        </w:r>
        <w:r>
          <w:rPr>
            <w:color w:val="0462C1"/>
            <w:u w:val="single" w:color="0462C1"/>
          </w:rPr>
          <w:t>@eotas.swindon.sch.uk</w:t>
        </w:r>
      </w:hyperlink>
      <w:r>
        <w:rPr>
          <w:color w:val="0462C1"/>
          <w:spacing w:val="-3"/>
        </w:rPr>
        <w:t xml:space="preserve"> </w:t>
      </w:r>
      <w:r>
        <w:t>or</w:t>
      </w:r>
      <w:r>
        <w:rPr>
          <w:spacing w:val="-5"/>
        </w:rPr>
        <w:t xml:space="preserve"> </w:t>
      </w:r>
      <w:r>
        <w:t>by</w:t>
      </w:r>
      <w:r>
        <w:rPr>
          <w:spacing w:val="-7"/>
        </w:rPr>
        <w:t xml:space="preserve"> </w:t>
      </w:r>
      <w:r>
        <w:t>calling</w:t>
      </w:r>
      <w:r>
        <w:rPr>
          <w:spacing w:val="-6"/>
        </w:rPr>
        <w:t xml:space="preserve"> fernbrrok College </w:t>
      </w:r>
      <w:r>
        <w:t>on</w:t>
      </w:r>
      <w:r>
        <w:rPr>
          <w:spacing w:val="-5"/>
        </w:rPr>
        <w:t xml:space="preserve"> </w:t>
      </w:r>
      <w:r>
        <w:t>01793 828941 and leaving a message.</w:t>
      </w:r>
    </w:p>
    <w:p>
      <w:pPr>
        <w:pStyle w:val="BodyText"/>
        <w:spacing w:before="159" w:line="259" w:lineRule="auto"/>
        <w:ind w:right="143"/>
      </w:pPr>
      <w:r>
        <w:t>There is a SEND team across EOTAS, consisting of the SENDCo, Site SEND leads, Specialist</w:t>
      </w:r>
      <w:r>
        <w:rPr>
          <w:spacing w:val="-8"/>
        </w:rPr>
        <w:t xml:space="preserve"> </w:t>
      </w:r>
      <w:r>
        <w:t>SEND</w:t>
      </w:r>
      <w:r>
        <w:rPr>
          <w:spacing w:val="-4"/>
        </w:rPr>
        <w:t xml:space="preserve"> </w:t>
      </w:r>
      <w:r>
        <w:t>Support</w:t>
      </w:r>
      <w:r>
        <w:rPr>
          <w:spacing w:val="-8"/>
        </w:rPr>
        <w:t xml:space="preserve"> </w:t>
      </w:r>
      <w:r>
        <w:t>Assistants,</w:t>
      </w:r>
      <w:r>
        <w:rPr>
          <w:spacing w:val="-1"/>
        </w:rPr>
        <w:t xml:space="preserve"> </w:t>
      </w:r>
      <w:r>
        <w:t>SEND</w:t>
      </w:r>
      <w:r>
        <w:rPr>
          <w:spacing w:val="-4"/>
        </w:rPr>
        <w:t xml:space="preserve"> </w:t>
      </w:r>
      <w:r>
        <w:t>admin,</w:t>
      </w:r>
      <w:r>
        <w:rPr>
          <w:spacing w:val="-5"/>
        </w:rPr>
        <w:t xml:space="preserve"> </w:t>
      </w:r>
      <w:r>
        <w:t>Teaching</w:t>
      </w:r>
      <w:r>
        <w:rPr>
          <w:spacing w:val="-3"/>
        </w:rPr>
        <w:t xml:space="preserve"> </w:t>
      </w:r>
      <w:r>
        <w:t>Assistants</w:t>
      </w:r>
      <w:r>
        <w:rPr>
          <w:spacing w:val="-3"/>
        </w:rPr>
        <w:t xml:space="preserve"> </w:t>
      </w:r>
      <w:r>
        <w:t>and SEND specialists such as Behaviour Support Assistants, Therapeutic Art pracitioner, Emotional Literacy Support Assistants and a Thrive practitioner who all work alongside the Pastoral and Welfare team, Educational Welfare and the Youth Engagement Service.</w:t>
      </w:r>
    </w:p>
    <w:p>
      <w:pPr>
        <w:pStyle w:val="BodyText"/>
        <w:spacing w:before="159" w:line="259" w:lineRule="auto"/>
        <w:ind w:right="143"/>
        <w:rPr>
          <w:b/>
          <w:bCs/>
          <w:sz w:val="28"/>
          <w:szCs w:val="28"/>
        </w:rPr>
      </w:pPr>
    </w:p>
    <w:p>
      <w:pPr>
        <w:pStyle w:val="BodyText"/>
        <w:spacing w:before="159" w:line="259" w:lineRule="auto"/>
        <w:ind w:right="143"/>
        <w:rPr>
          <w:b/>
          <w:bCs/>
          <w:sz w:val="28"/>
          <w:szCs w:val="28"/>
        </w:rPr>
      </w:pPr>
      <w:r>
        <w:rPr>
          <w:b/>
          <w:bCs/>
          <w:sz w:val="28"/>
          <w:szCs w:val="28"/>
        </w:rPr>
        <w:t>The SEND governor(s)</w:t>
      </w:r>
    </w:p>
    <w:p>
      <w:pPr>
        <w:pStyle w:val="BodyText"/>
        <w:spacing w:before="159" w:line="259" w:lineRule="auto"/>
        <w:ind w:right="143"/>
      </w:pPr>
      <w:r>
        <w:t>The SEND governor is: Paul Holroyd</w:t>
      </w:r>
      <w:commentRangeStart w:id="0"/>
      <w:commentRangeEnd w:id="0"/>
    </w:p>
    <w:p>
      <w:pPr>
        <w:pStyle w:val="BodyText"/>
        <w:spacing w:before="159" w:line="259" w:lineRule="auto"/>
        <w:ind w:right="143"/>
      </w:pPr>
      <w:r>
        <w:t>Help to raise awareness of SEND issues at governing body meetings as well as monitor the quality and effectiveness of SEND and disability provision within the school and update the governing body on this</w:t>
      </w:r>
    </w:p>
    <w:p>
      <w:pPr>
        <w:pStyle w:val="BodyText"/>
        <w:spacing w:before="159" w:line="259" w:lineRule="auto"/>
        <w:ind w:right="143"/>
      </w:pPr>
      <w:r>
        <w:t>The SEND governor will also work with the headteacher and SENDCo to determine the strategic development of the SEND policy and provision in the school</w:t>
      </w:r>
    </w:p>
    <w:p>
      <w:pPr>
        <w:pStyle w:val="BodyText"/>
        <w:spacing w:before="159" w:line="259" w:lineRule="auto"/>
        <w:ind w:right="143"/>
      </w:pPr>
      <w:r>
        <w:t xml:space="preserve">Contact: </w:t>
      </w:r>
    </w:p>
    <w:p>
      <w:pPr>
        <w:pStyle w:val="BodyText"/>
        <w:spacing w:before="159" w:line="259" w:lineRule="auto"/>
        <w:ind w:right="143"/>
        <w:rPr>
          <w:b/>
          <w:bCs/>
          <w:sz w:val="28"/>
          <w:szCs w:val="28"/>
        </w:rPr>
      </w:pPr>
      <w:r>
        <w:rPr>
          <w:b/>
          <w:bCs/>
          <w:sz w:val="28"/>
          <w:szCs w:val="28"/>
        </w:rPr>
        <w:t>The Headteacher</w:t>
      </w:r>
    </w:p>
    <w:p>
      <w:pPr>
        <w:pStyle w:val="BodyText"/>
        <w:spacing w:before="159" w:line="259" w:lineRule="auto"/>
        <w:ind w:right="143"/>
      </w:pPr>
      <w:r>
        <w:t>The headteacher will:</w:t>
      </w:r>
    </w:p>
    <w:p>
      <w:pPr>
        <w:pStyle w:val="BodyText"/>
        <w:spacing w:before="159" w:line="259" w:lineRule="auto"/>
        <w:ind w:right="143"/>
      </w:pPr>
      <w:r>
        <w:lastRenderedPageBreak/>
        <w:t>Work with the SENDCo and SEND governor to determine the strategic development of the SEND policy and provision in the school and has overall responsibility for the provision and progress of learners with SEN and/or a disability</w:t>
      </w:r>
    </w:p>
    <w:p>
      <w:pPr>
        <w:pStyle w:val="BodyText"/>
        <w:spacing w:before="159" w:line="259" w:lineRule="auto"/>
        <w:ind w:right="143"/>
      </w:pPr>
      <w:r>
        <w:t>Contact: Juliette.Baldwin@eotas.swindon.sch.uk</w:t>
      </w:r>
    </w:p>
    <w:p>
      <w:pPr>
        <w:spacing w:line="259" w:lineRule="auto"/>
        <w:sectPr>
          <w:headerReference w:type="default" r:id="rId9"/>
          <w:pgSz w:w="11910" w:h="16840"/>
          <w:pgMar w:top="1840" w:right="1320" w:bottom="280" w:left="1340" w:header="708" w:footer="0" w:gutter="0"/>
          <w:pgNumType w:start="1"/>
          <w:cols w:space="720"/>
        </w:sectPr>
      </w:pPr>
    </w:p>
    <w:p>
      <w:pPr>
        <w:pStyle w:val="BodyText"/>
        <w:spacing w:before="278"/>
        <w:ind w:left="0"/>
        <w:rPr>
          <w:sz w:val="28"/>
        </w:rPr>
      </w:pPr>
    </w:p>
    <w:p>
      <w:pPr>
        <w:pStyle w:val="Heading1"/>
      </w:pPr>
      <w:r>
        <w:t>The</w:t>
      </w:r>
      <w:r>
        <w:rPr>
          <w:spacing w:val="-4"/>
        </w:rPr>
        <w:t xml:space="preserve"> </w:t>
      </w:r>
      <w:r>
        <w:t>structure</w:t>
      </w:r>
      <w:r>
        <w:rPr>
          <w:spacing w:val="-4"/>
        </w:rPr>
        <w:t xml:space="preserve"> </w:t>
      </w:r>
      <w:r>
        <w:t>of</w:t>
      </w:r>
      <w:r>
        <w:rPr>
          <w:spacing w:val="-5"/>
        </w:rPr>
        <w:t xml:space="preserve"> </w:t>
      </w:r>
      <w:r>
        <w:t>EOTAS</w:t>
      </w:r>
      <w:r>
        <w:rPr>
          <w:spacing w:val="-5"/>
        </w:rPr>
        <w:t xml:space="preserve"> </w:t>
      </w:r>
      <w:r>
        <w:rPr>
          <w:spacing w:val="-2"/>
        </w:rPr>
        <w:t>Swindon</w:t>
      </w:r>
    </w:p>
    <w:p>
      <w:pPr>
        <w:pStyle w:val="BodyText"/>
        <w:spacing w:before="186" w:line="259" w:lineRule="auto"/>
        <w:ind w:right="143"/>
      </w:pPr>
      <w:r>
        <w:t>EOTAS Swindon has four main colleges:</w:t>
      </w:r>
      <w:r>
        <w:rPr>
          <w:spacing w:val="40"/>
        </w:rPr>
        <w:t xml:space="preserve"> Fernbrook College, Riverside c</w:t>
      </w:r>
      <w:r>
        <w:t xml:space="preserve">ollege including medical provision and </w:t>
      </w:r>
      <w:r>
        <w:rPr>
          <w:spacing w:val="-4"/>
        </w:rPr>
        <w:t>Oakfield College</w:t>
      </w:r>
      <w:r>
        <w:t>.</w:t>
      </w:r>
      <w:r>
        <w:rPr>
          <w:spacing w:val="40"/>
        </w:rPr>
        <w:t xml:space="preserve"> </w:t>
      </w:r>
      <w:r>
        <w:t>EOTAS</w:t>
      </w:r>
      <w:r>
        <w:rPr>
          <w:spacing w:val="-2"/>
        </w:rPr>
        <w:t xml:space="preserve"> </w:t>
      </w:r>
      <w:r>
        <w:t>Swindon also manages bespoke packages of provision for pupils who are unable to manage within one of the colleges.</w:t>
      </w:r>
      <w:r>
        <w:rPr>
          <w:spacing w:val="40"/>
        </w:rPr>
        <w:t xml:space="preserve"> </w:t>
      </w:r>
      <w:r>
        <w:t>The table below outlines the different provisions within EOTAS and which pupils they provide for.</w:t>
      </w:r>
    </w:p>
    <w:p>
      <w:pPr>
        <w:pStyle w:val="BodyText"/>
        <w:spacing w:before="8"/>
        <w:ind w:left="0"/>
        <w:rPr>
          <w:sz w:val="1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75"/>
        <w:gridCol w:w="2393"/>
        <w:gridCol w:w="2438"/>
        <w:gridCol w:w="1910"/>
      </w:tblGrid>
      <w:tr>
        <w:trPr>
          <w:trHeight w:val="1987"/>
        </w:trPr>
        <w:tc>
          <w:tcPr>
            <w:tcW w:w="2275" w:type="dxa"/>
            <w:shd w:val="clear" w:color="auto" w:fill="FFFFCC"/>
          </w:tcPr>
          <w:p>
            <w:pPr>
              <w:pStyle w:val="TableParagraph"/>
              <w:spacing w:before="1"/>
              <w:ind w:right="152"/>
              <w:rPr>
                <w:b/>
                <w:sz w:val="18"/>
              </w:rPr>
            </w:pPr>
            <w:r>
              <w:rPr>
                <w:b/>
                <w:sz w:val="18"/>
              </w:rPr>
              <w:t>Statutory provision for pupils who have been permanently</w:t>
            </w:r>
            <w:r>
              <w:rPr>
                <w:b/>
                <w:spacing w:val="-13"/>
                <w:sz w:val="18"/>
              </w:rPr>
              <w:t xml:space="preserve"> </w:t>
            </w:r>
            <w:r>
              <w:rPr>
                <w:b/>
                <w:sz w:val="18"/>
              </w:rPr>
              <w:t>excluded from school</w:t>
            </w:r>
          </w:p>
        </w:tc>
        <w:tc>
          <w:tcPr>
            <w:tcW w:w="2393" w:type="dxa"/>
            <w:shd w:val="clear" w:color="auto" w:fill="CCFFCC"/>
          </w:tcPr>
          <w:p>
            <w:pPr>
              <w:pStyle w:val="TableParagraph"/>
              <w:spacing w:before="1"/>
              <w:ind w:right="184"/>
              <w:rPr>
                <w:b/>
                <w:sz w:val="18"/>
              </w:rPr>
            </w:pPr>
            <w:r>
              <w:rPr>
                <w:b/>
                <w:sz w:val="18"/>
              </w:rPr>
              <w:t>Provision</w:t>
            </w:r>
            <w:r>
              <w:rPr>
                <w:b/>
                <w:spacing w:val="-13"/>
                <w:sz w:val="18"/>
              </w:rPr>
              <w:t xml:space="preserve"> </w:t>
            </w:r>
            <w:r>
              <w:rPr>
                <w:b/>
                <w:sz w:val="18"/>
              </w:rPr>
              <w:t>commissioned by schools for vulnerable</w:t>
            </w:r>
            <w:r>
              <w:rPr>
                <w:b/>
                <w:spacing w:val="-1"/>
                <w:sz w:val="18"/>
              </w:rPr>
              <w:t xml:space="preserve"> </w:t>
            </w:r>
            <w:r>
              <w:rPr>
                <w:b/>
                <w:sz w:val="18"/>
              </w:rPr>
              <w:t xml:space="preserve">and anxious </w:t>
            </w:r>
            <w:r>
              <w:rPr>
                <w:b/>
                <w:spacing w:val="-2"/>
                <w:sz w:val="18"/>
              </w:rPr>
              <w:t>pupils</w:t>
            </w:r>
          </w:p>
        </w:tc>
        <w:tc>
          <w:tcPr>
            <w:tcW w:w="2438" w:type="dxa"/>
            <w:shd w:val="clear" w:color="auto" w:fill="CCFFFF"/>
          </w:tcPr>
          <w:p>
            <w:pPr>
              <w:pStyle w:val="TableParagraph"/>
              <w:spacing w:before="1"/>
              <w:ind w:left="108" w:right="228"/>
              <w:rPr>
                <w:b/>
                <w:sz w:val="18"/>
              </w:rPr>
            </w:pPr>
            <w:r>
              <w:rPr>
                <w:b/>
                <w:sz w:val="18"/>
              </w:rPr>
              <w:t>Provision</w:t>
            </w:r>
            <w:r>
              <w:rPr>
                <w:b/>
                <w:spacing w:val="-13"/>
                <w:sz w:val="18"/>
              </w:rPr>
              <w:t xml:space="preserve"> </w:t>
            </w:r>
            <w:r>
              <w:rPr>
                <w:b/>
                <w:sz w:val="18"/>
              </w:rPr>
              <w:t>commissioned by the Local Authority through</w:t>
            </w:r>
            <w:r>
              <w:rPr>
                <w:b/>
                <w:spacing w:val="-2"/>
                <w:sz w:val="18"/>
              </w:rPr>
              <w:t xml:space="preserve"> </w:t>
            </w:r>
            <w:r>
              <w:rPr>
                <w:b/>
                <w:sz w:val="18"/>
              </w:rPr>
              <w:t>the</w:t>
            </w:r>
            <w:r>
              <w:rPr>
                <w:b/>
                <w:spacing w:val="-2"/>
                <w:sz w:val="18"/>
              </w:rPr>
              <w:t xml:space="preserve"> </w:t>
            </w:r>
            <w:r>
              <w:rPr>
                <w:b/>
                <w:sz w:val="18"/>
              </w:rPr>
              <w:t>High</w:t>
            </w:r>
            <w:r>
              <w:rPr>
                <w:b/>
                <w:spacing w:val="-2"/>
                <w:sz w:val="18"/>
              </w:rPr>
              <w:t xml:space="preserve"> </w:t>
            </w:r>
            <w:r>
              <w:rPr>
                <w:b/>
                <w:sz w:val="18"/>
              </w:rPr>
              <w:t>Needs Block</w:t>
            </w:r>
            <w:r>
              <w:rPr>
                <w:b/>
                <w:spacing w:val="-6"/>
                <w:sz w:val="18"/>
              </w:rPr>
              <w:t xml:space="preserve"> </w:t>
            </w:r>
            <w:r>
              <w:rPr>
                <w:b/>
                <w:sz w:val="18"/>
              </w:rPr>
              <w:t>for</w:t>
            </w:r>
            <w:r>
              <w:rPr>
                <w:b/>
                <w:spacing w:val="-7"/>
                <w:sz w:val="18"/>
              </w:rPr>
              <w:t xml:space="preserve"> </w:t>
            </w:r>
            <w:r>
              <w:rPr>
                <w:b/>
                <w:sz w:val="18"/>
              </w:rPr>
              <w:t>pupils</w:t>
            </w:r>
            <w:r>
              <w:rPr>
                <w:b/>
                <w:spacing w:val="-7"/>
                <w:sz w:val="18"/>
              </w:rPr>
              <w:t xml:space="preserve"> </w:t>
            </w:r>
            <w:r>
              <w:rPr>
                <w:b/>
                <w:sz w:val="18"/>
              </w:rPr>
              <w:t>who</w:t>
            </w:r>
            <w:r>
              <w:rPr>
                <w:b/>
                <w:spacing w:val="-10"/>
                <w:sz w:val="18"/>
              </w:rPr>
              <w:t xml:space="preserve"> </w:t>
            </w:r>
            <w:r>
              <w:rPr>
                <w:b/>
                <w:sz w:val="18"/>
              </w:rPr>
              <w:t>are inpatients and sometimes</w:t>
            </w:r>
            <w:r>
              <w:rPr>
                <w:b/>
                <w:spacing w:val="-13"/>
                <w:sz w:val="18"/>
              </w:rPr>
              <w:t xml:space="preserve"> </w:t>
            </w:r>
            <w:r>
              <w:rPr>
                <w:b/>
                <w:sz w:val="18"/>
              </w:rPr>
              <w:t>day</w:t>
            </w:r>
            <w:r>
              <w:rPr>
                <w:b/>
                <w:spacing w:val="-12"/>
                <w:sz w:val="18"/>
              </w:rPr>
              <w:t xml:space="preserve"> </w:t>
            </w:r>
            <w:r>
              <w:rPr>
                <w:b/>
                <w:sz w:val="18"/>
              </w:rPr>
              <w:t>patients at Marlborough House (tier 4 CAMHS)</w:t>
            </w:r>
          </w:p>
        </w:tc>
        <w:tc>
          <w:tcPr>
            <w:tcW w:w="1910" w:type="dxa"/>
            <w:shd w:val="clear" w:color="auto" w:fill="FFCCFF"/>
          </w:tcPr>
          <w:p>
            <w:pPr>
              <w:pStyle w:val="TableParagraph"/>
              <w:spacing w:before="1"/>
              <w:ind w:left="106"/>
              <w:rPr>
                <w:b/>
                <w:sz w:val="18"/>
              </w:rPr>
            </w:pPr>
            <w:r>
              <w:rPr>
                <w:b/>
                <w:spacing w:val="-2"/>
                <w:sz w:val="18"/>
              </w:rPr>
              <w:t xml:space="preserve">Provision </w:t>
            </w:r>
            <w:r>
              <w:rPr>
                <w:b/>
                <w:sz w:val="18"/>
              </w:rPr>
              <w:t>commissioned by the</w:t>
            </w:r>
            <w:r>
              <w:rPr>
                <w:b/>
                <w:spacing w:val="-13"/>
                <w:sz w:val="18"/>
              </w:rPr>
              <w:t xml:space="preserve"> </w:t>
            </w:r>
            <w:r>
              <w:rPr>
                <w:b/>
                <w:sz w:val="18"/>
              </w:rPr>
              <w:t>Local</w:t>
            </w:r>
            <w:r>
              <w:rPr>
                <w:b/>
                <w:spacing w:val="-13"/>
                <w:sz w:val="18"/>
              </w:rPr>
              <w:t xml:space="preserve"> </w:t>
            </w:r>
            <w:r>
              <w:rPr>
                <w:b/>
                <w:sz w:val="18"/>
              </w:rPr>
              <w:t>Authority through the High Needs Block for pupils who are unable to attend school</w:t>
            </w:r>
            <w:r>
              <w:rPr>
                <w:b/>
                <w:spacing w:val="-13"/>
                <w:sz w:val="18"/>
              </w:rPr>
              <w:t xml:space="preserve"> </w:t>
            </w:r>
            <w:r>
              <w:rPr>
                <w:b/>
                <w:sz w:val="18"/>
              </w:rPr>
              <w:t>for</w:t>
            </w:r>
            <w:r>
              <w:rPr>
                <w:b/>
                <w:spacing w:val="-13"/>
                <w:sz w:val="18"/>
              </w:rPr>
              <w:t xml:space="preserve"> </w:t>
            </w:r>
            <w:r>
              <w:rPr>
                <w:b/>
                <w:sz w:val="18"/>
              </w:rPr>
              <w:t>medical</w:t>
            </w:r>
          </w:p>
          <w:p>
            <w:pPr>
              <w:pStyle w:val="TableParagraph"/>
              <w:spacing w:before="1" w:line="199" w:lineRule="exact"/>
              <w:ind w:left="106"/>
              <w:rPr>
                <w:b/>
                <w:sz w:val="18"/>
              </w:rPr>
            </w:pPr>
            <w:r>
              <w:rPr>
                <w:b/>
                <w:spacing w:val="-2"/>
                <w:sz w:val="18"/>
              </w:rPr>
              <w:t>reasons</w:t>
            </w:r>
          </w:p>
        </w:tc>
      </w:tr>
      <w:tr>
        <w:trPr>
          <w:trHeight w:val="441"/>
        </w:trPr>
        <w:tc>
          <w:tcPr>
            <w:tcW w:w="2275" w:type="dxa"/>
            <w:shd w:val="clear" w:color="auto" w:fill="FFFFCC"/>
          </w:tcPr>
          <w:p>
            <w:pPr>
              <w:pStyle w:val="TableParagraph"/>
              <w:spacing w:line="220" w:lineRule="atLeast"/>
              <w:ind w:right="275"/>
              <w:rPr>
                <w:sz w:val="18"/>
                <w:szCs w:val="18"/>
              </w:rPr>
            </w:pPr>
            <w:r>
              <w:rPr>
                <w:sz w:val="18"/>
                <w:szCs w:val="18"/>
              </w:rPr>
              <w:t>Fernbrook</w:t>
            </w:r>
            <w:r>
              <w:rPr>
                <w:spacing w:val="-12"/>
                <w:sz w:val="18"/>
                <w:szCs w:val="18"/>
              </w:rPr>
              <w:t xml:space="preserve"> </w:t>
            </w:r>
            <w:r>
              <w:rPr>
                <w:sz w:val="18"/>
                <w:szCs w:val="18"/>
              </w:rPr>
              <w:t xml:space="preserve">College </w:t>
            </w:r>
            <w:r>
              <w:rPr>
                <w:spacing w:val="-2"/>
                <w:sz w:val="18"/>
                <w:szCs w:val="18"/>
              </w:rPr>
              <w:t>(pre-16)</w:t>
            </w:r>
          </w:p>
        </w:tc>
        <w:tc>
          <w:tcPr>
            <w:tcW w:w="2393" w:type="dxa"/>
            <w:shd w:val="clear" w:color="auto" w:fill="CCFFCC"/>
          </w:tcPr>
          <w:p>
            <w:pPr>
              <w:pStyle w:val="TableParagraph"/>
              <w:spacing w:before="1"/>
              <w:rPr>
                <w:sz w:val="18"/>
                <w:szCs w:val="18"/>
              </w:rPr>
            </w:pPr>
            <w:r>
              <w:rPr>
                <w:sz w:val="18"/>
                <w:szCs w:val="18"/>
              </w:rPr>
              <w:t>Riverside College</w:t>
            </w:r>
          </w:p>
        </w:tc>
        <w:tc>
          <w:tcPr>
            <w:tcW w:w="2438" w:type="dxa"/>
            <w:shd w:val="clear" w:color="auto" w:fill="CCFFFF"/>
          </w:tcPr>
          <w:p>
            <w:pPr>
              <w:pStyle w:val="TableParagraph"/>
              <w:spacing w:before="1"/>
              <w:ind w:left="108"/>
              <w:rPr>
                <w:sz w:val="18"/>
              </w:rPr>
            </w:pPr>
            <w:r>
              <w:rPr>
                <w:sz w:val="18"/>
              </w:rPr>
              <w:t>Adolescent</w:t>
            </w:r>
            <w:r>
              <w:rPr>
                <w:spacing w:val="-3"/>
                <w:sz w:val="18"/>
              </w:rPr>
              <w:t xml:space="preserve"> </w:t>
            </w:r>
            <w:r>
              <w:rPr>
                <w:sz w:val="18"/>
              </w:rPr>
              <w:t>Unit</w:t>
            </w:r>
            <w:r>
              <w:rPr>
                <w:spacing w:val="-2"/>
                <w:sz w:val="18"/>
              </w:rPr>
              <w:t xml:space="preserve"> School</w:t>
            </w:r>
          </w:p>
        </w:tc>
        <w:tc>
          <w:tcPr>
            <w:tcW w:w="1910" w:type="dxa"/>
            <w:shd w:val="clear" w:color="auto" w:fill="FFCCFF"/>
          </w:tcPr>
          <w:p>
            <w:pPr>
              <w:pStyle w:val="TableParagraph"/>
              <w:spacing w:line="220" w:lineRule="atLeast"/>
              <w:ind w:left="106"/>
              <w:rPr>
                <w:sz w:val="18"/>
              </w:rPr>
            </w:pPr>
            <w:r>
              <w:rPr>
                <w:sz w:val="18"/>
              </w:rPr>
              <w:t>Hospital</w:t>
            </w:r>
            <w:r>
              <w:rPr>
                <w:spacing w:val="-13"/>
                <w:sz w:val="18"/>
              </w:rPr>
              <w:t xml:space="preserve"> </w:t>
            </w:r>
            <w:r>
              <w:rPr>
                <w:sz w:val="18"/>
              </w:rPr>
              <w:t>and</w:t>
            </w:r>
            <w:r>
              <w:rPr>
                <w:spacing w:val="-12"/>
                <w:sz w:val="18"/>
              </w:rPr>
              <w:t xml:space="preserve"> </w:t>
            </w:r>
            <w:r>
              <w:rPr>
                <w:sz w:val="18"/>
              </w:rPr>
              <w:t>home tuition service</w:t>
            </w:r>
          </w:p>
        </w:tc>
      </w:tr>
      <w:tr>
        <w:trPr>
          <w:trHeight w:val="441"/>
        </w:trPr>
        <w:tc>
          <w:tcPr>
            <w:tcW w:w="2275" w:type="dxa"/>
            <w:shd w:val="clear" w:color="auto" w:fill="FFFFCC"/>
          </w:tcPr>
          <w:p>
            <w:pPr>
              <w:pStyle w:val="TableParagraph"/>
              <w:spacing w:line="220" w:lineRule="atLeast"/>
              <w:ind w:right="152"/>
              <w:rPr>
                <w:sz w:val="18"/>
                <w:szCs w:val="18"/>
              </w:rPr>
            </w:pPr>
            <w:r>
              <w:rPr>
                <w:sz w:val="18"/>
                <w:szCs w:val="18"/>
              </w:rPr>
              <w:t xml:space="preserve">Oakfield College </w:t>
            </w:r>
            <w:r>
              <w:rPr>
                <w:spacing w:val="-2"/>
                <w:sz w:val="18"/>
                <w:szCs w:val="18"/>
              </w:rPr>
              <w:t>(KS4)</w:t>
            </w:r>
          </w:p>
        </w:tc>
        <w:tc>
          <w:tcPr>
            <w:tcW w:w="2393" w:type="dxa"/>
            <w:shd w:val="clear" w:color="auto" w:fill="CCFFCC"/>
          </w:tcPr>
          <w:p>
            <w:pPr>
              <w:pStyle w:val="TableParagraph"/>
              <w:spacing w:line="220" w:lineRule="atLeast"/>
              <w:ind w:right="184"/>
              <w:rPr>
                <w:sz w:val="18"/>
                <w:szCs w:val="18"/>
              </w:rPr>
            </w:pPr>
            <w:r>
              <w:rPr>
                <w:sz w:val="18"/>
                <w:szCs w:val="18"/>
              </w:rPr>
              <w:t xml:space="preserve">Oakfield College </w:t>
            </w:r>
            <w:r>
              <w:rPr>
                <w:spacing w:val="-2"/>
                <w:sz w:val="18"/>
                <w:szCs w:val="18"/>
              </w:rPr>
              <w:t>(KS4)</w:t>
            </w:r>
          </w:p>
        </w:tc>
        <w:tc>
          <w:tcPr>
            <w:tcW w:w="2438" w:type="dxa"/>
            <w:shd w:val="clear" w:color="auto" w:fill="CCFFFF"/>
          </w:tcPr>
          <w:p>
            <w:pPr>
              <w:pStyle w:val="TableParagraph"/>
              <w:ind w:left="0"/>
              <w:rPr>
                <w:rFonts w:ascii="Times New Roman"/>
              </w:rPr>
            </w:pPr>
          </w:p>
        </w:tc>
        <w:tc>
          <w:tcPr>
            <w:tcW w:w="1910" w:type="dxa"/>
            <w:shd w:val="clear" w:color="auto" w:fill="FFCCFF"/>
          </w:tcPr>
          <w:p>
            <w:pPr>
              <w:pStyle w:val="TableParagraph"/>
              <w:ind w:left="0"/>
              <w:rPr>
                <w:rFonts w:ascii="Times New Roman"/>
              </w:rPr>
            </w:pPr>
          </w:p>
        </w:tc>
      </w:tr>
      <w:tr>
        <w:trPr>
          <w:trHeight w:val="1103"/>
        </w:trPr>
        <w:tc>
          <w:tcPr>
            <w:tcW w:w="2275" w:type="dxa"/>
            <w:shd w:val="clear" w:color="auto" w:fill="FFFFCC"/>
          </w:tcPr>
          <w:p>
            <w:pPr>
              <w:pStyle w:val="TableParagraph"/>
              <w:spacing w:line="220" w:lineRule="atLeast"/>
              <w:ind w:right="63"/>
              <w:rPr>
                <w:sz w:val="18"/>
                <w:szCs w:val="18"/>
              </w:rPr>
            </w:pPr>
            <w:r>
              <w:rPr>
                <w:sz w:val="18"/>
                <w:szCs w:val="18"/>
              </w:rPr>
              <w:t>Bespoke packages including tuition and alternative</w:t>
            </w:r>
            <w:r>
              <w:rPr>
                <w:spacing w:val="-13"/>
                <w:sz w:val="18"/>
                <w:szCs w:val="18"/>
              </w:rPr>
              <w:t xml:space="preserve"> </w:t>
            </w:r>
            <w:r>
              <w:rPr>
                <w:sz w:val="18"/>
                <w:szCs w:val="18"/>
              </w:rPr>
              <w:t>activities</w:t>
            </w:r>
            <w:r>
              <w:rPr>
                <w:spacing w:val="-12"/>
                <w:sz w:val="18"/>
                <w:szCs w:val="18"/>
              </w:rPr>
              <w:t xml:space="preserve"> </w:t>
            </w:r>
            <w:r>
              <w:rPr>
                <w:sz w:val="18"/>
                <w:szCs w:val="18"/>
              </w:rPr>
              <w:t>for pupils who are unable to attend a college</w:t>
            </w:r>
          </w:p>
        </w:tc>
        <w:tc>
          <w:tcPr>
            <w:tcW w:w="2393" w:type="dxa"/>
            <w:shd w:val="clear" w:color="auto" w:fill="CCFFCC"/>
          </w:tcPr>
          <w:p>
            <w:pPr>
              <w:pStyle w:val="TableParagraph"/>
              <w:ind w:left="0"/>
              <w:rPr>
                <w:rFonts w:ascii="Times New Roman"/>
              </w:rPr>
            </w:pPr>
          </w:p>
        </w:tc>
        <w:tc>
          <w:tcPr>
            <w:tcW w:w="2438" w:type="dxa"/>
            <w:shd w:val="clear" w:color="auto" w:fill="CCFFFF"/>
          </w:tcPr>
          <w:p>
            <w:pPr>
              <w:pStyle w:val="TableParagraph"/>
              <w:ind w:left="0"/>
              <w:rPr>
                <w:rFonts w:ascii="Times New Roman"/>
              </w:rPr>
            </w:pPr>
          </w:p>
        </w:tc>
        <w:tc>
          <w:tcPr>
            <w:tcW w:w="1910" w:type="dxa"/>
            <w:shd w:val="clear" w:color="auto" w:fill="FFCCFF"/>
          </w:tcPr>
          <w:p>
            <w:pPr>
              <w:pStyle w:val="TableParagraph"/>
              <w:ind w:left="0"/>
              <w:rPr>
                <w:rFonts w:ascii="Times New Roman"/>
              </w:rPr>
            </w:pPr>
          </w:p>
        </w:tc>
      </w:tr>
    </w:tbl>
    <w:p>
      <w:pPr>
        <w:pStyle w:val="BodyText"/>
        <w:spacing w:before="241"/>
        <w:ind w:left="0"/>
      </w:pPr>
    </w:p>
    <w:p>
      <w:pPr>
        <w:pStyle w:val="Heading1"/>
      </w:pPr>
      <w:r>
        <w:t>What</w:t>
      </w:r>
      <w:r>
        <w:rPr>
          <w:spacing w:val="-4"/>
        </w:rPr>
        <w:t xml:space="preserve"> </w:t>
      </w:r>
      <w:r>
        <w:t>kinds</w:t>
      </w:r>
      <w:r>
        <w:rPr>
          <w:spacing w:val="-5"/>
        </w:rPr>
        <w:t xml:space="preserve"> </w:t>
      </w:r>
      <w:r>
        <w:t>of</w:t>
      </w:r>
      <w:r>
        <w:rPr>
          <w:spacing w:val="-5"/>
        </w:rPr>
        <w:t xml:space="preserve"> </w:t>
      </w:r>
      <w:r>
        <w:t>SEND</w:t>
      </w:r>
      <w:r>
        <w:rPr>
          <w:spacing w:val="-3"/>
        </w:rPr>
        <w:t xml:space="preserve"> </w:t>
      </w:r>
      <w:r>
        <w:t>are</w:t>
      </w:r>
      <w:r>
        <w:rPr>
          <w:spacing w:val="-2"/>
        </w:rPr>
        <w:t xml:space="preserve"> </w:t>
      </w:r>
      <w:r>
        <w:t>provided</w:t>
      </w:r>
      <w:r>
        <w:rPr>
          <w:spacing w:val="-6"/>
        </w:rPr>
        <w:t xml:space="preserve"> </w:t>
      </w:r>
      <w:r>
        <w:rPr>
          <w:spacing w:val="-4"/>
        </w:rPr>
        <w:t>for?</w:t>
      </w:r>
    </w:p>
    <w:p>
      <w:pPr>
        <w:pStyle w:val="BodyText"/>
        <w:spacing w:before="187" w:line="259" w:lineRule="auto"/>
        <w:ind w:right="143"/>
      </w:pPr>
      <w:r>
        <w:t>EOTAS</w:t>
      </w:r>
      <w:r>
        <w:rPr>
          <w:spacing w:val="-3"/>
        </w:rPr>
        <w:t xml:space="preserve"> </w:t>
      </w:r>
      <w:r>
        <w:t>Swindon</w:t>
      </w:r>
      <w:r>
        <w:rPr>
          <w:spacing w:val="-3"/>
        </w:rPr>
        <w:t xml:space="preserve"> </w:t>
      </w:r>
      <w:r>
        <w:t>provides</w:t>
      </w:r>
      <w:r>
        <w:rPr>
          <w:spacing w:val="-3"/>
        </w:rPr>
        <w:t xml:space="preserve"> </w:t>
      </w:r>
      <w:r>
        <w:t>support</w:t>
      </w:r>
      <w:r>
        <w:rPr>
          <w:spacing w:val="-8"/>
        </w:rPr>
        <w:t xml:space="preserve"> </w:t>
      </w:r>
      <w:r>
        <w:t>for</w:t>
      </w:r>
      <w:r>
        <w:rPr>
          <w:spacing w:val="-3"/>
        </w:rPr>
        <w:t xml:space="preserve"> </w:t>
      </w:r>
      <w:r>
        <w:t>all</w:t>
      </w:r>
      <w:r>
        <w:rPr>
          <w:spacing w:val="-1"/>
        </w:rPr>
        <w:t xml:space="preserve"> </w:t>
      </w:r>
      <w:r>
        <w:t>areas</w:t>
      </w:r>
      <w:r>
        <w:rPr>
          <w:spacing w:val="-3"/>
        </w:rPr>
        <w:t xml:space="preserve"> </w:t>
      </w:r>
      <w:r>
        <w:t>of</w:t>
      </w:r>
      <w:r>
        <w:rPr>
          <w:spacing w:val="-5"/>
        </w:rPr>
        <w:t xml:space="preserve"> </w:t>
      </w:r>
      <w:r>
        <w:t>SEND</w:t>
      </w:r>
      <w:r>
        <w:rPr>
          <w:spacing w:val="-4"/>
        </w:rPr>
        <w:t xml:space="preserve"> </w:t>
      </w:r>
      <w:r>
        <w:t>as</w:t>
      </w:r>
      <w:r>
        <w:rPr>
          <w:spacing w:val="-3"/>
        </w:rPr>
        <w:t xml:space="preserve"> </w:t>
      </w:r>
      <w:r>
        <w:t>outlined</w:t>
      </w:r>
      <w:r>
        <w:rPr>
          <w:spacing w:val="-3"/>
        </w:rPr>
        <w:t xml:space="preserve"> </w:t>
      </w:r>
      <w:r>
        <w:t>in</w:t>
      </w:r>
      <w:r>
        <w:rPr>
          <w:spacing w:val="-3"/>
        </w:rPr>
        <w:t xml:space="preserve"> </w:t>
      </w:r>
      <w:r>
        <w:t>the</w:t>
      </w:r>
      <w:r>
        <w:rPr>
          <w:spacing w:val="-3"/>
        </w:rPr>
        <w:t xml:space="preserve"> </w:t>
      </w:r>
      <w:r>
        <w:t>SEN Code of Practice: ‘Cognition and Learning’, ‘Communication and</w:t>
      </w:r>
    </w:p>
    <w:p>
      <w:pPr>
        <w:pStyle w:val="BodyText"/>
        <w:spacing w:line="259" w:lineRule="auto"/>
        <w:ind w:right="143"/>
      </w:pPr>
      <w:r>
        <w:t>Interaction’,</w:t>
      </w:r>
      <w:r>
        <w:rPr>
          <w:spacing w:val="-7"/>
        </w:rPr>
        <w:t xml:space="preserve"> </w:t>
      </w:r>
      <w:r>
        <w:t>‘Social,</w:t>
      </w:r>
      <w:r>
        <w:rPr>
          <w:spacing w:val="-9"/>
        </w:rPr>
        <w:t xml:space="preserve"> </w:t>
      </w:r>
      <w:r>
        <w:t>Emotional</w:t>
      </w:r>
      <w:r>
        <w:rPr>
          <w:spacing w:val="-3"/>
        </w:rPr>
        <w:t xml:space="preserve"> </w:t>
      </w:r>
      <w:r>
        <w:t>and</w:t>
      </w:r>
      <w:r>
        <w:rPr>
          <w:spacing w:val="-6"/>
        </w:rPr>
        <w:t xml:space="preserve"> </w:t>
      </w:r>
      <w:r>
        <w:t>Mental</w:t>
      </w:r>
      <w:r>
        <w:rPr>
          <w:spacing w:val="-1"/>
        </w:rPr>
        <w:t xml:space="preserve"> </w:t>
      </w:r>
      <w:r>
        <w:t>Health’</w:t>
      </w:r>
      <w:r>
        <w:rPr>
          <w:spacing w:val="-5"/>
        </w:rPr>
        <w:t xml:space="preserve"> </w:t>
      </w:r>
      <w:r>
        <w:t>and</w:t>
      </w:r>
      <w:r>
        <w:rPr>
          <w:spacing w:val="-5"/>
        </w:rPr>
        <w:t xml:space="preserve"> </w:t>
      </w:r>
      <w:r>
        <w:t>‘Sensory</w:t>
      </w:r>
      <w:r>
        <w:rPr>
          <w:spacing w:val="-7"/>
        </w:rPr>
        <w:t xml:space="preserve"> </w:t>
      </w:r>
      <w:r>
        <w:t xml:space="preserve">and/or </w:t>
      </w:r>
      <w:r>
        <w:rPr>
          <w:spacing w:val="-2"/>
        </w:rPr>
        <w:t>Physical.’</w:t>
      </w:r>
    </w:p>
    <w:p>
      <w:pPr>
        <w:pStyle w:val="BodyText"/>
        <w:spacing w:before="159" w:line="259" w:lineRule="auto"/>
        <w:ind w:right="202"/>
      </w:pPr>
      <w:r>
        <w:t>EOTAS usually supports pupils at SEN Support level.</w:t>
      </w:r>
      <w:r>
        <w:rPr>
          <w:spacing w:val="40"/>
        </w:rPr>
        <w:t xml:space="preserve"> </w:t>
      </w:r>
      <w:r>
        <w:t>EOTAS is an alternative provision not a specialist provision.</w:t>
      </w:r>
      <w:r>
        <w:rPr>
          <w:spacing w:val="40"/>
        </w:rPr>
        <w:t xml:space="preserve"> </w:t>
      </w:r>
      <w:r>
        <w:t>However, EOTAS supports a number of pupils</w:t>
      </w:r>
      <w:r>
        <w:rPr>
          <w:spacing w:val="-3"/>
        </w:rPr>
        <w:t xml:space="preserve"> </w:t>
      </w:r>
      <w:r>
        <w:t>with</w:t>
      </w:r>
      <w:r>
        <w:rPr>
          <w:spacing w:val="-1"/>
        </w:rPr>
        <w:t xml:space="preserve"> </w:t>
      </w:r>
      <w:r>
        <w:t>an</w:t>
      </w:r>
      <w:r>
        <w:rPr>
          <w:spacing w:val="-1"/>
        </w:rPr>
        <w:t xml:space="preserve"> </w:t>
      </w:r>
      <w:r>
        <w:t>Education,</w:t>
      </w:r>
      <w:r>
        <w:rPr>
          <w:spacing w:val="-3"/>
        </w:rPr>
        <w:t xml:space="preserve"> </w:t>
      </w:r>
      <w:r>
        <w:t>Health</w:t>
      </w:r>
      <w:r>
        <w:rPr>
          <w:spacing w:val="-1"/>
        </w:rPr>
        <w:t xml:space="preserve"> </w:t>
      </w:r>
      <w:r>
        <w:t>and</w:t>
      </w:r>
      <w:r>
        <w:rPr>
          <w:spacing w:val="-1"/>
        </w:rPr>
        <w:t xml:space="preserve"> </w:t>
      </w:r>
      <w:r>
        <w:t>Care</w:t>
      </w:r>
      <w:r>
        <w:rPr>
          <w:spacing w:val="-1"/>
        </w:rPr>
        <w:t xml:space="preserve"> </w:t>
      </w:r>
      <w:r>
        <w:t>Plan</w:t>
      </w:r>
      <w:r>
        <w:rPr>
          <w:spacing w:val="-1"/>
        </w:rPr>
        <w:t xml:space="preserve"> </w:t>
      </w:r>
      <w:r>
        <w:t>(EHCP.)</w:t>
      </w:r>
      <w:r>
        <w:rPr>
          <w:spacing w:val="40"/>
        </w:rPr>
        <w:t xml:space="preserve"> </w:t>
      </w:r>
      <w:r>
        <w:t>This can</w:t>
      </w:r>
      <w:r>
        <w:rPr>
          <w:spacing w:val="-1"/>
        </w:rPr>
        <w:t xml:space="preserve"> </w:t>
      </w:r>
      <w:r>
        <w:t>be where</w:t>
      </w:r>
      <w:r>
        <w:rPr>
          <w:spacing w:val="-1"/>
        </w:rPr>
        <w:t xml:space="preserve"> </w:t>
      </w:r>
      <w:r>
        <w:t>a pupil has been excluded from school, where a mainstream school commissions support from an EOTAS college such as Riverside College or Oakfield College or where a pupil with an EHCP is accessing support through</w:t>
      </w:r>
      <w:r>
        <w:rPr>
          <w:spacing w:val="-1"/>
        </w:rPr>
        <w:t xml:space="preserve"> </w:t>
      </w:r>
      <w:r>
        <w:t>the</w:t>
      </w:r>
      <w:r>
        <w:rPr>
          <w:spacing w:val="-3"/>
        </w:rPr>
        <w:t xml:space="preserve"> </w:t>
      </w:r>
      <w:r>
        <w:t>Adolescent</w:t>
      </w:r>
      <w:r>
        <w:rPr>
          <w:spacing w:val="-8"/>
        </w:rPr>
        <w:t xml:space="preserve"> </w:t>
      </w:r>
      <w:r>
        <w:t>Unit</w:t>
      </w:r>
      <w:r>
        <w:rPr>
          <w:spacing w:val="-6"/>
        </w:rPr>
        <w:t xml:space="preserve"> </w:t>
      </w:r>
      <w:r>
        <w:t>School or</w:t>
      </w:r>
      <w:r>
        <w:rPr>
          <w:spacing w:val="-4"/>
        </w:rPr>
        <w:t xml:space="preserve"> </w:t>
      </w:r>
      <w:r>
        <w:t>the</w:t>
      </w:r>
      <w:r>
        <w:rPr>
          <w:spacing w:val="-3"/>
        </w:rPr>
        <w:t xml:space="preserve"> </w:t>
      </w:r>
      <w:r>
        <w:t>Hospital</w:t>
      </w:r>
      <w:r>
        <w:rPr>
          <w:spacing w:val="-1"/>
        </w:rPr>
        <w:t xml:space="preserve"> </w:t>
      </w:r>
      <w:r>
        <w:t>and</w:t>
      </w:r>
      <w:r>
        <w:rPr>
          <w:spacing w:val="-3"/>
        </w:rPr>
        <w:t xml:space="preserve"> </w:t>
      </w:r>
      <w:r>
        <w:t>Home</w:t>
      </w:r>
      <w:r>
        <w:rPr>
          <w:spacing w:val="-6"/>
        </w:rPr>
        <w:t xml:space="preserve"> </w:t>
      </w:r>
      <w:r>
        <w:t>Tuition</w:t>
      </w:r>
      <w:r>
        <w:rPr>
          <w:spacing w:val="-3"/>
        </w:rPr>
        <w:t xml:space="preserve"> </w:t>
      </w:r>
      <w:r>
        <w:t>Service.</w:t>
      </w:r>
    </w:p>
    <w:p>
      <w:pPr>
        <w:pStyle w:val="BodyText"/>
        <w:spacing w:before="159" w:line="259" w:lineRule="auto"/>
        <w:ind w:right="143"/>
      </w:pPr>
      <w:r>
        <w:t>As of September 2024, there are 25 pupils with an EHCP attending an EOTAS setting across all schools. The majority are dual registered with a mainstream school.</w:t>
      </w:r>
      <w:r>
        <w:rPr>
          <w:spacing w:val="40"/>
        </w:rPr>
        <w:t xml:space="preserve"> </w:t>
      </w:r>
      <w:r>
        <w:t>There</w:t>
      </w:r>
      <w:r>
        <w:rPr>
          <w:spacing w:val="-2"/>
        </w:rPr>
        <w:t xml:space="preserve"> </w:t>
      </w:r>
      <w:r>
        <w:t>are</w:t>
      </w:r>
      <w:r>
        <w:rPr>
          <w:spacing w:val="-2"/>
        </w:rPr>
        <w:t xml:space="preserve"> </w:t>
      </w:r>
      <w:r>
        <w:t>also</w:t>
      </w:r>
      <w:r>
        <w:rPr>
          <w:spacing w:val="-4"/>
        </w:rPr>
        <w:t xml:space="preserve"> </w:t>
      </w:r>
      <w:r>
        <w:t>currently</w:t>
      </w:r>
      <w:r>
        <w:rPr>
          <w:spacing w:val="-2"/>
        </w:rPr>
        <w:t xml:space="preserve"> 11 </w:t>
      </w:r>
      <w:r>
        <w:t>pupils</w:t>
      </w:r>
      <w:r>
        <w:rPr>
          <w:spacing w:val="-1"/>
        </w:rPr>
        <w:t xml:space="preserve"> at </w:t>
      </w:r>
      <w:r>
        <w:t>EOTAS</w:t>
      </w:r>
      <w:r>
        <w:rPr>
          <w:spacing w:val="-4"/>
        </w:rPr>
        <w:t xml:space="preserve"> </w:t>
      </w:r>
      <w:r>
        <w:t>who</w:t>
      </w:r>
      <w:r>
        <w:rPr>
          <w:spacing w:val="-4"/>
        </w:rPr>
        <w:t xml:space="preserve"> </w:t>
      </w:r>
      <w:r>
        <w:t>are</w:t>
      </w:r>
      <w:r>
        <w:rPr>
          <w:spacing w:val="-4"/>
        </w:rPr>
        <w:t xml:space="preserve"> </w:t>
      </w:r>
      <w:r>
        <w:t>undergoing</w:t>
      </w:r>
      <w:r>
        <w:rPr>
          <w:spacing w:val="-3"/>
        </w:rPr>
        <w:t xml:space="preserve"> </w:t>
      </w:r>
      <w:r>
        <w:t>an EHC Needs Assessment and may be issued with an EHCP.</w:t>
      </w:r>
    </w:p>
    <w:p>
      <w:pPr>
        <w:spacing w:line="259" w:lineRule="auto"/>
        <w:rPr>
          <w:highlight w:val="yellow"/>
        </w:rPr>
        <w:sectPr>
          <w:pgSz w:w="11910" w:h="16840"/>
          <w:pgMar w:top="1840" w:right="1320" w:bottom="280" w:left="1340" w:header="708" w:footer="0" w:gutter="0"/>
          <w:cols w:space="720"/>
        </w:sectPr>
      </w:pPr>
    </w:p>
    <w:p>
      <w:pPr>
        <w:pStyle w:val="BodyText"/>
        <w:spacing w:before="1"/>
        <w:ind w:left="0"/>
        <w:rPr>
          <w:sz w:val="7"/>
        </w:rPr>
      </w:pPr>
    </w:p>
    <w:tbl>
      <w:tblPr>
        <w:tblW w:w="9014" w:type="dxa"/>
        <w:tblInd w:w="1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351"/>
        <w:gridCol w:w="1613"/>
        <w:gridCol w:w="1641"/>
        <w:gridCol w:w="1629"/>
        <w:gridCol w:w="1080"/>
        <w:gridCol w:w="1700"/>
      </w:tblGrid>
      <w:tr>
        <w:trPr>
          <w:trHeight w:val="268"/>
        </w:trPr>
        <w:tc>
          <w:tcPr>
            <w:tcW w:w="9014" w:type="dxa"/>
            <w:gridSpan w:val="6"/>
          </w:tcPr>
          <w:p>
            <w:pPr>
              <w:pStyle w:val="TableParagraph"/>
              <w:spacing w:before="1" w:line="247" w:lineRule="exact"/>
              <w:rPr>
                <w:b/>
              </w:rPr>
            </w:pPr>
            <w:r>
              <w:rPr>
                <w:b/>
              </w:rPr>
              <w:t>Pupils</w:t>
            </w:r>
            <w:r>
              <w:rPr>
                <w:b/>
                <w:spacing w:val="-5"/>
              </w:rPr>
              <w:t xml:space="preserve"> </w:t>
            </w:r>
            <w:r>
              <w:rPr>
                <w:b/>
              </w:rPr>
              <w:t>with</w:t>
            </w:r>
            <w:r>
              <w:rPr>
                <w:b/>
                <w:spacing w:val="-4"/>
              </w:rPr>
              <w:t xml:space="preserve"> </w:t>
            </w:r>
            <w:r>
              <w:rPr>
                <w:b/>
              </w:rPr>
              <w:t>an</w:t>
            </w:r>
            <w:r>
              <w:rPr>
                <w:b/>
                <w:spacing w:val="-4"/>
              </w:rPr>
              <w:t xml:space="preserve"> </w:t>
            </w:r>
            <w:r>
              <w:rPr>
                <w:b/>
              </w:rPr>
              <w:t>EHCP</w:t>
            </w:r>
            <w:r>
              <w:rPr>
                <w:b/>
                <w:spacing w:val="-2"/>
              </w:rPr>
              <w:t xml:space="preserve"> </w:t>
            </w:r>
            <w:r>
              <w:rPr>
                <w:b/>
              </w:rPr>
              <w:t>within</w:t>
            </w:r>
            <w:r>
              <w:rPr>
                <w:b/>
                <w:spacing w:val="-1"/>
              </w:rPr>
              <w:t xml:space="preserve"> </w:t>
            </w:r>
            <w:r>
              <w:rPr>
                <w:b/>
                <w:spacing w:val="-2"/>
              </w:rPr>
              <w:t>EOTAS</w:t>
            </w:r>
          </w:p>
        </w:tc>
      </w:tr>
      <w:tr>
        <w:trPr>
          <w:trHeight w:val="1888"/>
        </w:trPr>
        <w:tc>
          <w:tcPr>
            <w:tcW w:w="1351" w:type="dxa"/>
            <w:shd w:val="clear" w:color="auto" w:fill="CCFFFF"/>
          </w:tcPr>
          <w:p>
            <w:pPr>
              <w:pStyle w:val="TableParagraph"/>
              <w:spacing w:before="1"/>
              <w:rPr>
                <w:b/>
              </w:rPr>
            </w:pPr>
            <w:r>
              <w:rPr>
                <w:b/>
              </w:rPr>
              <w:t>Key</w:t>
            </w:r>
            <w:r>
              <w:rPr>
                <w:b/>
                <w:spacing w:val="-5"/>
              </w:rPr>
              <w:t xml:space="preserve"> </w:t>
            </w:r>
            <w:r>
              <w:rPr>
                <w:b/>
                <w:spacing w:val="-2"/>
              </w:rPr>
              <w:t>Stage</w:t>
            </w:r>
          </w:p>
        </w:tc>
        <w:tc>
          <w:tcPr>
            <w:tcW w:w="1613" w:type="dxa"/>
            <w:shd w:val="clear" w:color="auto" w:fill="FFCCFF"/>
          </w:tcPr>
          <w:p>
            <w:pPr>
              <w:pStyle w:val="TableParagraph"/>
              <w:spacing w:before="1"/>
              <w:ind w:right="30"/>
              <w:rPr>
                <w:b/>
              </w:rPr>
            </w:pPr>
            <w:r>
              <w:rPr>
                <w:b/>
                <w:spacing w:val="-2"/>
              </w:rPr>
              <w:t xml:space="preserve">Dual-rolled </w:t>
            </w:r>
            <w:r>
              <w:rPr>
                <w:b/>
                <w:spacing w:val="-4"/>
              </w:rPr>
              <w:t xml:space="preserve">with </w:t>
            </w:r>
            <w:r>
              <w:rPr>
                <w:b/>
                <w:spacing w:val="-2"/>
              </w:rPr>
              <w:t xml:space="preserve">mainstream </w:t>
            </w:r>
            <w:r>
              <w:rPr>
                <w:b/>
              </w:rPr>
              <w:t xml:space="preserve">school not </w:t>
            </w:r>
            <w:r>
              <w:rPr>
                <w:b/>
                <w:spacing w:val="-4"/>
              </w:rPr>
              <w:t xml:space="preserve">pem </w:t>
            </w:r>
            <w:r>
              <w:rPr>
                <w:b/>
                <w:spacing w:val="-2"/>
              </w:rPr>
              <w:t>excluded</w:t>
            </w:r>
          </w:p>
        </w:tc>
        <w:tc>
          <w:tcPr>
            <w:tcW w:w="1641" w:type="dxa"/>
            <w:shd w:val="clear" w:color="auto" w:fill="FFFFCC"/>
          </w:tcPr>
          <w:p>
            <w:pPr>
              <w:pStyle w:val="TableParagraph"/>
              <w:spacing w:before="1"/>
              <w:ind w:left="108" w:right="1"/>
              <w:rPr>
                <w:b/>
              </w:rPr>
            </w:pPr>
            <w:r>
              <w:rPr>
                <w:b/>
                <w:spacing w:val="-2"/>
              </w:rPr>
              <w:t xml:space="preserve">Permanently </w:t>
            </w:r>
            <w:r>
              <w:rPr>
                <w:b/>
              </w:rPr>
              <w:t xml:space="preserve">excluded – waiting on </w:t>
            </w:r>
            <w:r>
              <w:rPr>
                <w:b/>
                <w:spacing w:val="-4"/>
              </w:rPr>
              <w:t xml:space="preserve">new </w:t>
            </w:r>
            <w:r>
              <w:rPr>
                <w:b/>
                <w:spacing w:val="-2"/>
              </w:rPr>
              <w:t>placement</w:t>
            </w:r>
          </w:p>
        </w:tc>
        <w:tc>
          <w:tcPr>
            <w:tcW w:w="1629" w:type="dxa"/>
            <w:shd w:val="clear" w:color="auto" w:fill="CCEBFF"/>
          </w:tcPr>
          <w:p>
            <w:pPr>
              <w:pStyle w:val="TableParagraph"/>
              <w:spacing w:before="1"/>
              <w:ind w:left="108"/>
              <w:rPr>
                <w:b/>
              </w:rPr>
            </w:pPr>
            <w:r>
              <w:rPr>
                <w:b/>
                <w:spacing w:val="-2"/>
              </w:rPr>
              <w:t>EOTAS</w:t>
            </w:r>
          </w:p>
          <w:p>
            <w:pPr>
              <w:pStyle w:val="TableParagraph"/>
              <w:spacing w:before="2"/>
              <w:ind w:left="108"/>
              <w:rPr>
                <w:b/>
              </w:rPr>
            </w:pPr>
            <w:r>
              <w:rPr>
                <w:b/>
              </w:rPr>
              <w:t>named</w:t>
            </w:r>
            <w:r>
              <w:rPr>
                <w:b/>
                <w:spacing w:val="-16"/>
              </w:rPr>
              <w:t xml:space="preserve"> </w:t>
            </w:r>
            <w:r>
              <w:rPr>
                <w:b/>
              </w:rPr>
              <w:t xml:space="preserve">in </w:t>
            </w:r>
            <w:r>
              <w:rPr>
                <w:b/>
                <w:spacing w:val="-4"/>
              </w:rPr>
              <w:t>EHCP</w:t>
            </w:r>
          </w:p>
          <w:p>
            <w:pPr>
              <w:pStyle w:val="TableParagraph"/>
              <w:ind w:left="108" w:right="147"/>
              <w:rPr>
                <w:b/>
              </w:rPr>
            </w:pPr>
            <w:r>
              <w:rPr>
                <w:b/>
                <w:spacing w:val="-2"/>
              </w:rPr>
              <w:t xml:space="preserve">through consultation </w:t>
            </w:r>
            <w:r>
              <w:rPr>
                <w:b/>
              </w:rPr>
              <w:t>– staying</w:t>
            </w:r>
          </w:p>
          <w:p>
            <w:pPr>
              <w:pStyle w:val="TableParagraph"/>
              <w:spacing w:line="247" w:lineRule="exact"/>
              <w:ind w:left="108"/>
              <w:rPr>
                <w:b/>
              </w:rPr>
            </w:pPr>
            <w:r>
              <w:rPr>
                <w:b/>
                <w:spacing w:val="-4"/>
              </w:rPr>
              <w:t>here</w:t>
            </w:r>
          </w:p>
        </w:tc>
        <w:tc>
          <w:tcPr>
            <w:tcW w:w="1080" w:type="dxa"/>
            <w:shd w:val="clear" w:color="auto" w:fill="C5DFB3"/>
          </w:tcPr>
          <w:p>
            <w:pPr>
              <w:pStyle w:val="TableParagraph"/>
              <w:spacing w:before="1"/>
              <w:ind w:left="109"/>
              <w:rPr>
                <w:b/>
              </w:rPr>
            </w:pPr>
            <w:r>
              <w:rPr>
                <w:b/>
                <w:spacing w:val="-2"/>
              </w:rPr>
              <w:t>Total</w:t>
            </w:r>
          </w:p>
        </w:tc>
        <w:tc>
          <w:tcPr>
            <w:tcW w:w="1700" w:type="dxa"/>
            <w:shd w:val="clear" w:color="auto" w:fill="CCFFFF"/>
          </w:tcPr>
          <w:p>
            <w:pPr>
              <w:pStyle w:val="TableParagraph"/>
              <w:spacing w:before="1"/>
              <w:ind w:left="111" w:right="95"/>
              <w:jc w:val="both"/>
              <w:rPr>
                <w:b/>
              </w:rPr>
            </w:pPr>
            <w:r>
              <w:rPr>
                <w:b/>
              </w:rPr>
              <w:t xml:space="preserve">EHC Needs </w:t>
            </w:r>
            <w:r>
              <w:rPr>
                <w:b/>
                <w:spacing w:val="-2"/>
              </w:rPr>
              <w:t xml:space="preserve">Assessment </w:t>
            </w:r>
            <w:r>
              <w:rPr>
                <w:b/>
              </w:rPr>
              <w:t>in process</w:t>
            </w:r>
          </w:p>
        </w:tc>
      </w:tr>
      <w:tr>
        <w:trPr>
          <w:trHeight w:val="539"/>
        </w:trPr>
        <w:tc>
          <w:tcPr>
            <w:tcW w:w="1351" w:type="dxa"/>
            <w:shd w:val="clear" w:color="auto" w:fill="CCFFFF"/>
            <w:vAlign w:val="center"/>
          </w:tcPr>
          <w:p>
            <w:pPr>
              <w:pStyle w:val="TableParagraph"/>
              <w:spacing w:before="1"/>
              <w:jc w:val="center"/>
              <w:rPr>
                <w:b/>
                <w:bCs/>
              </w:rPr>
            </w:pPr>
            <w:r>
              <w:rPr>
                <w:b/>
                <w:bCs/>
                <w:spacing w:val="-5"/>
              </w:rPr>
              <w:t>KS3</w:t>
            </w:r>
          </w:p>
        </w:tc>
        <w:tc>
          <w:tcPr>
            <w:tcW w:w="1613" w:type="dxa"/>
            <w:shd w:val="clear" w:color="auto" w:fill="FFCCFF"/>
            <w:vAlign w:val="center"/>
          </w:tcPr>
          <w:p>
            <w:pPr>
              <w:pStyle w:val="TableParagraph"/>
              <w:spacing w:before="1"/>
              <w:jc w:val="center"/>
            </w:pPr>
            <w:r>
              <w:rPr>
                <w:spacing w:val="-10"/>
              </w:rPr>
              <w:t>3</w:t>
            </w:r>
          </w:p>
        </w:tc>
        <w:tc>
          <w:tcPr>
            <w:tcW w:w="1641" w:type="dxa"/>
            <w:shd w:val="clear" w:color="auto" w:fill="FFFFCC"/>
            <w:vAlign w:val="center"/>
          </w:tcPr>
          <w:p>
            <w:pPr>
              <w:pStyle w:val="TableParagraph"/>
              <w:spacing w:before="1"/>
              <w:ind w:left="108"/>
              <w:jc w:val="center"/>
            </w:pPr>
            <w:r>
              <w:rPr>
                <w:spacing w:val="-10"/>
              </w:rPr>
              <w:t>0</w:t>
            </w:r>
          </w:p>
        </w:tc>
        <w:tc>
          <w:tcPr>
            <w:tcW w:w="1629" w:type="dxa"/>
            <w:shd w:val="clear" w:color="auto" w:fill="CCEBFF"/>
            <w:vAlign w:val="center"/>
          </w:tcPr>
          <w:p>
            <w:pPr>
              <w:pStyle w:val="TableParagraph"/>
              <w:spacing w:before="1"/>
              <w:ind w:left="108"/>
              <w:jc w:val="center"/>
            </w:pPr>
          </w:p>
        </w:tc>
        <w:tc>
          <w:tcPr>
            <w:tcW w:w="1080" w:type="dxa"/>
            <w:shd w:val="clear" w:color="auto" w:fill="C5DFB3"/>
            <w:vAlign w:val="center"/>
          </w:tcPr>
          <w:p>
            <w:pPr>
              <w:pStyle w:val="TableParagraph"/>
              <w:spacing w:before="1"/>
              <w:ind w:left="109"/>
              <w:jc w:val="center"/>
            </w:pPr>
            <w:r>
              <w:rPr>
                <w:spacing w:val="-10"/>
              </w:rPr>
              <w:t>3</w:t>
            </w:r>
          </w:p>
        </w:tc>
        <w:tc>
          <w:tcPr>
            <w:tcW w:w="1700" w:type="dxa"/>
            <w:shd w:val="clear" w:color="auto" w:fill="CCFFFF"/>
            <w:vAlign w:val="center"/>
          </w:tcPr>
          <w:p>
            <w:pPr>
              <w:pStyle w:val="TableParagraph"/>
              <w:spacing w:before="1"/>
              <w:ind w:left="111"/>
              <w:jc w:val="center"/>
            </w:pPr>
            <w:r>
              <w:rPr>
                <w:spacing w:val="-10"/>
              </w:rPr>
              <w:t>4</w:t>
            </w:r>
          </w:p>
        </w:tc>
      </w:tr>
      <w:tr>
        <w:trPr>
          <w:trHeight w:val="540"/>
        </w:trPr>
        <w:tc>
          <w:tcPr>
            <w:tcW w:w="1351" w:type="dxa"/>
            <w:shd w:val="clear" w:color="auto" w:fill="CCFFFF"/>
            <w:vAlign w:val="center"/>
          </w:tcPr>
          <w:p>
            <w:pPr>
              <w:pStyle w:val="TableParagraph"/>
              <w:spacing w:before="1"/>
              <w:jc w:val="center"/>
              <w:rPr>
                <w:b/>
                <w:bCs/>
              </w:rPr>
            </w:pPr>
            <w:r>
              <w:rPr>
                <w:b/>
                <w:bCs/>
                <w:spacing w:val="-5"/>
              </w:rPr>
              <w:t>KS4</w:t>
            </w:r>
          </w:p>
        </w:tc>
        <w:tc>
          <w:tcPr>
            <w:tcW w:w="1613" w:type="dxa"/>
            <w:shd w:val="clear" w:color="auto" w:fill="FFCCFF"/>
            <w:vAlign w:val="center"/>
          </w:tcPr>
          <w:p>
            <w:pPr>
              <w:pStyle w:val="TableParagraph"/>
              <w:spacing w:before="1"/>
              <w:jc w:val="center"/>
            </w:pPr>
            <w:r>
              <w:rPr>
                <w:spacing w:val="-10"/>
              </w:rPr>
              <w:t>7</w:t>
            </w:r>
          </w:p>
        </w:tc>
        <w:tc>
          <w:tcPr>
            <w:tcW w:w="1641" w:type="dxa"/>
            <w:shd w:val="clear" w:color="auto" w:fill="FFFFCC"/>
            <w:vAlign w:val="center"/>
          </w:tcPr>
          <w:p>
            <w:pPr>
              <w:pStyle w:val="TableParagraph"/>
              <w:ind w:left="0"/>
              <w:jc w:val="center"/>
              <w:rPr>
                <w:rFonts w:ascii="Times New Roman"/>
              </w:rPr>
            </w:pPr>
            <w:r>
              <w:rPr>
                <w:rFonts w:ascii="Times New Roman"/>
              </w:rPr>
              <w:t>2</w:t>
            </w:r>
            <w:commentRangeStart w:id="1"/>
            <w:commentRangeEnd w:id="1"/>
          </w:p>
        </w:tc>
        <w:tc>
          <w:tcPr>
            <w:tcW w:w="1629" w:type="dxa"/>
            <w:shd w:val="clear" w:color="auto" w:fill="CCEBFF"/>
            <w:vAlign w:val="center"/>
          </w:tcPr>
          <w:p>
            <w:pPr>
              <w:pStyle w:val="TableParagraph"/>
              <w:spacing w:before="1"/>
              <w:ind w:left="108"/>
              <w:jc w:val="center"/>
            </w:pPr>
            <w:r>
              <w:rPr>
                <w:spacing w:val="-10"/>
              </w:rPr>
              <w:t>5</w:t>
            </w:r>
          </w:p>
        </w:tc>
        <w:tc>
          <w:tcPr>
            <w:tcW w:w="1080" w:type="dxa"/>
            <w:shd w:val="clear" w:color="auto" w:fill="C5DFB3"/>
            <w:vAlign w:val="center"/>
          </w:tcPr>
          <w:p>
            <w:pPr>
              <w:pStyle w:val="TableParagraph"/>
              <w:spacing w:before="1"/>
              <w:ind w:left="109"/>
              <w:jc w:val="center"/>
            </w:pPr>
            <w:r>
              <w:rPr>
                <w:spacing w:val="-10"/>
              </w:rPr>
              <w:t>16</w:t>
            </w:r>
          </w:p>
        </w:tc>
        <w:tc>
          <w:tcPr>
            <w:tcW w:w="1700" w:type="dxa"/>
            <w:shd w:val="clear" w:color="auto" w:fill="CCFFFF"/>
            <w:vAlign w:val="center"/>
          </w:tcPr>
          <w:p>
            <w:pPr>
              <w:pStyle w:val="TableParagraph"/>
              <w:spacing w:before="1"/>
              <w:ind w:left="111"/>
              <w:jc w:val="center"/>
            </w:pPr>
            <w:r>
              <w:rPr>
                <w:spacing w:val="-10"/>
              </w:rPr>
              <w:t>5</w:t>
            </w:r>
          </w:p>
        </w:tc>
      </w:tr>
      <w:tr>
        <w:trPr>
          <w:trHeight w:val="268"/>
        </w:trPr>
        <w:tc>
          <w:tcPr>
            <w:tcW w:w="1351" w:type="dxa"/>
            <w:shd w:val="clear" w:color="auto" w:fill="CCFFFF"/>
            <w:vAlign w:val="center"/>
          </w:tcPr>
          <w:p>
            <w:pPr>
              <w:pStyle w:val="TableParagraph"/>
              <w:spacing w:before="1" w:line="247" w:lineRule="exact"/>
              <w:jc w:val="center"/>
              <w:rPr>
                <w:b/>
                <w:bCs/>
              </w:rPr>
            </w:pPr>
            <w:r>
              <w:rPr>
                <w:b/>
                <w:bCs/>
                <w:spacing w:val="-5"/>
              </w:rPr>
              <w:t>KS5</w:t>
            </w:r>
          </w:p>
        </w:tc>
        <w:tc>
          <w:tcPr>
            <w:tcW w:w="1613" w:type="dxa"/>
            <w:shd w:val="clear" w:color="auto" w:fill="FFCCFF"/>
            <w:vAlign w:val="center"/>
          </w:tcPr>
          <w:p>
            <w:pPr>
              <w:pStyle w:val="TableParagraph"/>
              <w:spacing w:before="1" w:line="247" w:lineRule="exact"/>
              <w:jc w:val="center"/>
            </w:pPr>
            <w:r>
              <w:rPr>
                <w:spacing w:val="-10"/>
              </w:rPr>
              <w:t>6</w:t>
            </w:r>
          </w:p>
        </w:tc>
        <w:tc>
          <w:tcPr>
            <w:tcW w:w="1641" w:type="dxa"/>
            <w:shd w:val="clear" w:color="auto" w:fill="FFFFCC"/>
            <w:vAlign w:val="center"/>
          </w:tcPr>
          <w:p>
            <w:pPr>
              <w:pStyle w:val="TableParagraph"/>
              <w:ind w:left="0"/>
              <w:jc w:val="center"/>
              <w:rPr>
                <w:rFonts w:ascii="Times New Roman"/>
                <w:sz w:val="18"/>
                <w:szCs w:val="18"/>
              </w:rPr>
            </w:pPr>
          </w:p>
        </w:tc>
        <w:tc>
          <w:tcPr>
            <w:tcW w:w="1629" w:type="dxa"/>
            <w:shd w:val="clear" w:color="auto" w:fill="CCEBFF"/>
            <w:vAlign w:val="center"/>
          </w:tcPr>
          <w:p>
            <w:pPr>
              <w:pStyle w:val="TableParagraph"/>
              <w:ind w:left="0"/>
              <w:jc w:val="center"/>
              <w:rPr>
                <w:rFonts w:ascii="Times New Roman"/>
                <w:sz w:val="18"/>
                <w:szCs w:val="18"/>
              </w:rPr>
            </w:pPr>
          </w:p>
        </w:tc>
        <w:tc>
          <w:tcPr>
            <w:tcW w:w="1080" w:type="dxa"/>
            <w:shd w:val="clear" w:color="auto" w:fill="C5DFB3"/>
            <w:vAlign w:val="center"/>
          </w:tcPr>
          <w:p>
            <w:pPr>
              <w:pStyle w:val="TableParagraph"/>
              <w:spacing w:before="1" w:line="247" w:lineRule="exact"/>
              <w:ind w:left="109"/>
              <w:jc w:val="center"/>
            </w:pPr>
            <w:r>
              <w:rPr>
                <w:spacing w:val="-10"/>
              </w:rPr>
              <w:t>6</w:t>
            </w:r>
          </w:p>
        </w:tc>
        <w:tc>
          <w:tcPr>
            <w:tcW w:w="1700" w:type="dxa"/>
            <w:shd w:val="clear" w:color="auto" w:fill="CCFFFF"/>
            <w:vAlign w:val="center"/>
          </w:tcPr>
          <w:p>
            <w:pPr>
              <w:pStyle w:val="TableParagraph"/>
              <w:spacing w:before="1" w:line="247" w:lineRule="exact"/>
              <w:ind w:left="111"/>
              <w:jc w:val="center"/>
            </w:pPr>
            <w:r>
              <w:rPr>
                <w:spacing w:val="-10"/>
              </w:rPr>
              <w:t>2</w:t>
            </w:r>
          </w:p>
        </w:tc>
      </w:tr>
      <w:tr>
        <w:trPr>
          <w:trHeight w:val="542"/>
        </w:trPr>
        <w:tc>
          <w:tcPr>
            <w:tcW w:w="1351" w:type="dxa"/>
            <w:shd w:val="clear" w:color="auto" w:fill="CCFFFF"/>
            <w:vAlign w:val="center"/>
          </w:tcPr>
          <w:p>
            <w:pPr>
              <w:pStyle w:val="TableParagraph"/>
              <w:ind w:left="0"/>
              <w:jc w:val="center"/>
              <w:rPr>
                <w:rFonts w:ascii="Times New Roman"/>
              </w:rPr>
            </w:pPr>
          </w:p>
        </w:tc>
        <w:tc>
          <w:tcPr>
            <w:tcW w:w="1613" w:type="dxa"/>
            <w:shd w:val="clear" w:color="auto" w:fill="FFCCFF"/>
            <w:vAlign w:val="center"/>
          </w:tcPr>
          <w:p>
            <w:pPr>
              <w:pStyle w:val="TableParagraph"/>
              <w:spacing w:before="4"/>
              <w:jc w:val="center"/>
            </w:pPr>
          </w:p>
        </w:tc>
        <w:tc>
          <w:tcPr>
            <w:tcW w:w="1641" w:type="dxa"/>
            <w:shd w:val="clear" w:color="auto" w:fill="FFFFCC"/>
            <w:vAlign w:val="center"/>
          </w:tcPr>
          <w:p>
            <w:pPr>
              <w:pStyle w:val="TableParagraph"/>
              <w:ind w:left="0"/>
              <w:jc w:val="center"/>
              <w:rPr>
                <w:rFonts w:ascii="Times New Roman"/>
              </w:rPr>
            </w:pPr>
          </w:p>
        </w:tc>
        <w:tc>
          <w:tcPr>
            <w:tcW w:w="1629" w:type="dxa"/>
            <w:shd w:val="clear" w:color="auto" w:fill="CCEBFF"/>
            <w:vAlign w:val="center"/>
          </w:tcPr>
          <w:p>
            <w:pPr>
              <w:pStyle w:val="TableParagraph"/>
              <w:spacing w:before="4"/>
              <w:ind w:left="108"/>
              <w:jc w:val="center"/>
            </w:pPr>
          </w:p>
        </w:tc>
        <w:tc>
          <w:tcPr>
            <w:tcW w:w="1080" w:type="dxa"/>
            <w:shd w:val="clear" w:color="auto" w:fill="C5DFB3"/>
            <w:vAlign w:val="center"/>
          </w:tcPr>
          <w:p>
            <w:pPr>
              <w:pStyle w:val="TableParagraph"/>
              <w:spacing w:before="4"/>
              <w:ind w:left="109"/>
              <w:jc w:val="center"/>
            </w:pPr>
          </w:p>
        </w:tc>
        <w:tc>
          <w:tcPr>
            <w:tcW w:w="1700" w:type="dxa"/>
            <w:shd w:val="clear" w:color="auto" w:fill="CCFFFF"/>
            <w:vAlign w:val="center"/>
          </w:tcPr>
          <w:p>
            <w:pPr>
              <w:pStyle w:val="TableParagraph"/>
              <w:spacing w:before="4"/>
              <w:ind w:left="111"/>
              <w:jc w:val="center"/>
            </w:pPr>
          </w:p>
        </w:tc>
      </w:tr>
    </w:tbl>
    <w:p>
      <w:pPr>
        <w:pStyle w:val="BodyText"/>
        <w:ind w:left="0"/>
        <w:rPr>
          <w:sz w:val="20"/>
        </w:rPr>
      </w:pPr>
    </w:p>
    <w:p>
      <w:pPr>
        <w:pStyle w:val="BodyText"/>
        <w:spacing w:before="42"/>
        <w:ind w:left="0"/>
        <w:rPr>
          <w:sz w:val="20"/>
        </w:rPr>
      </w:pPr>
    </w:p>
    <w:tbl>
      <w:tblPr>
        <w:tblW w:w="9020" w:type="dxa"/>
        <w:tblInd w:w="1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890"/>
        <w:gridCol w:w="1142"/>
        <w:gridCol w:w="1140"/>
        <w:gridCol w:w="1110"/>
        <w:gridCol w:w="839"/>
        <w:gridCol w:w="1170"/>
        <w:gridCol w:w="1037"/>
        <w:gridCol w:w="692"/>
      </w:tblGrid>
      <w:tr>
        <w:trPr>
          <w:trHeight w:val="268"/>
        </w:trPr>
        <w:tc>
          <w:tcPr>
            <w:tcW w:w="8328" w:type="dxa"/>
            <w:gridSpan w:val="7"/>
          </w:tcPr>
          <w:p>
            <w:pPr>
              <w:pStyle w:val="TableParagraph"/>
              <w:spacing w:before="1" w:line="247" w:lineRule="exact"/>
              <w:rPr>
                <w:b/>
                <w:bCs/>
              </w:rPr>
            </w:pPr>
            <w:r>
              <w:rPr>
                <w:b/>
                <w:bCs/>
              </w:rPr>
              <w:t>Pupils</w:t>
            </w:r>
            <w:r>
              <w:rPr>
                <w:b/>
                <w:bCs/>
                <w:spacing w:val="-8"/>
              </w:rPr>
              <w:t xml:space="preserve"> </w:t>
            </w:r>
            <w:r>
              <w:rPr>
                <w:b/>
                <w:bCs/>
              </w:rPr>
              <w:t>with</w:t>
            </w:r>
            <w:r>
              <w:rPr>
                <w:b/>
                <w:bCs/>
                <w:spacing w:val="-5"/>
              </w:rPr>
              <w:t xml:space="preserve"> </w:t>
            </w:r>
            <w:r>
              <w:rPr>
                <w:b/>
                <w:bCs/>
              </w:rPr>
              <w:t>an</w:t>
            </w:r>
            <w:r>
              <w:rPr>
                <w:b/>
                <w:bCs/>
                <w:spacing w:val="-5"/>
              </w:rPr>
              <w:t xml:space="preserve"> </w:t>
            </w:r>
            <w:r>
              <w:rPr>
                <w:b/>
                <w:bCs/>
              </w:rPr>
              <w:t>EHCP (Single and DR)  or</w:t>
            </w:r>
            <w:r>
              <w:rPr>
                <w:b/>
                <w:bCs/>
                <w:spacing w:val="-5"/>
              </w:rPr>
              <w:t xml:space="preserve"> </w:t>
            </w:r>
            <w:r>
              <w:rPr>
                <w:b/>
                <w:bCs/>
              </w:rPr>
              <w:t>under</w:t>
            </w:r>
            <w:r>
              <w:rPr>
                <w:b/>
                <w:bCs/>
                <w:spacing w:val="-4"/>
              </w:rPr>
              <w:t xml:space="preserve"> </w:t>
            </w:r>
            <w:r>
              <w:rPr>
                <w:b/>
                <w:bCs/>
              </w:rPr>
              <w:t>assessment</w:t>
            </w:r>
            <w:r>
              <w:rPr>
                <w:b/>
                <w:bCs/>
                <w:spacing w:val="-3"/>
              </w:rPr>
              <w:t xml:space="preserve"> </w:t>
            </w:r>
            <w:r>
              <w:rPr>
                <w:b/>
                <w:bCs/>
              </w:rPr>
              <w:t>within</w:t>
            </w:r>
            <w:r>
              <w:rPr>
                <w:b/>
                <w:bCs/>
                <w:spacing w:val="-2"/>
              </w:rPr>
              <w:t xml:space="preserve"> EOTAS</w:t>
            </w:r>
          </w:p>
        </w:tc>
        <w:tc>
          <w:tcPr>
            <w:tcW w:w="692" w:type="dxa"/>
          </w:tcPr>
          <w:p>
            <w:pPr>
              <w:pStyle w:val="TableParagraph"/>
              <w:ind w:left="0"/>
              <w:rPr>
                <w:rFonts w:ascii="Times New Roman"/>
                <w:sz w:val="18"/>
              </w:rPr>
            </w:pPr>
          </w:p>
        </w:tc>
      </w:tr>
      <w:tr>
        <w:trPr>
          <w:trHeight w:val="1226"/>
        </w:trPr>
        <w:tc>
          <w:tcPr>
            <w:tcW w:w="1890" w:type="dxa"/>
          </w:tcPr>
          <w:p>
            <w:pPr>
              <w:pStyle w:val="TableParagraph"/>
              <w:spacing w:before="2"/>
              <w:rPr>
                <w:b/>
                <w:bCs/>
                <w:sz w:val="20"/>
                <w:szCs w:val="20"/>
              </w:rPr>
            </w:pPr>
            <w:r>
              <w:rPr>
                <w:b/>
                <w:bCs/>
                <w:spacing w:val="-2"/>
                <w:sz w:val="20"/>
                <w:szCs w:val="20"/>
              </w:rPr>
              <w:t>College/Provision</w:t>
            </w:r>
          </w:p>
        </w:tc>
        <w:tc>
          <w:tcPr>
            <w:tcW w:w="1142" w:type="dxa"/>
          </w:tcPr>
          <w:p>
            <w:pPr>
              <w:pStyle w:val="TableParagraph"/>
              <w:spacing w:before="2"/>
              <w:rPr>
                <w:sz w:val="20"/>
              </w:rPr>
            </w:pPr>
            <w:r>
              <w:rPr>
                <w:spacing w:val="-2"/>
                <w:sz w:val="20"/>
              </w:rPr>
              <w:t>Fernbrook</w:t>
            </w:r>
          </w:p>
        </w:tc>
        <w:tc>
          <w:tcPr>
            <w:tcW w:w="1140" w:type="dxa"/>
          </w:tcPr>
          <w:p>
            <w:pPr>
              <w:pStyle w:val="TableParagraph"/>
              <w:spacing w:before="2"/>
              <w:rPr>
                <w:sz w:val="20"/>
              </w:rPr>
            </w:pPr>
            <w:r>
              <w:rPr>
                <w:spacing w:val="-2"/>
                <w:sz w:val="20"/>
              </w:rPr>
              <w:t>Riverside</w:t>
            </w:r>
          </w:p>
        </w:tc>
        <w:tc>
          <w:tcPr>
            <w:tcW w:w="1110" w:type="dxa"/>
          </w:tcPr>
          <w:p>
            <w:pPr>
              <w:pStyle w:val="TableParagraph"/>
              <w:spacing w:before="2"/>
              <w:rPr>
                <w:sz w:val="20"/>
              </w:rPr>
            </w:pPr>
            <w:r>
              <w:rPr>
                <w:spacing w:val="-2"/>
                <w:sz w:val="20"/>
              </w:rPr>
              <w:t>Oakfield</w:t>
            </w:r>
          </w:p>
        </w:tc>
        <w:tc>
          <w:tcPr>
            <w:tcW w:w="839" w:type="dxa"/>
          </w:tcPr>
          <w:p>
            <w:pPr>
              <w:pStyle w:val="TableParagraph"/>
              <w:spacing w:before="2"/>
              <w:rPr>
                <w:sz w:val="20"/>
              </w:rPr>
            </w:pPr>
            <w:r>
              <w:rPr>
                <w:spacing w:val="-5"/>
                <w:sz w:val="20"/>
              </w:rPr>
              <w:t>AUS</w:t>
            </w:r>
          </w:p>
        </w:tc>
        <w:tc>
          <w:tcPr>
            <w:tcW w:w="1170" w:type="dxa"/>
          </w:tcPr>
          <w:p>
            <w:pPr>
              <w:pStyle w:val="TableParagraph"/>
              <w:spacing w:before="2"/>
              <w:ind w:right="197"/>
              <w:rPr>
                <w:sz w:val="20"/>
              </w:rPr>
            </w:pPr>
            <w:r>
              <w:rPr>
                <w:spacing w:val="-2"/>
                <w:sz w:val="20"/>
              </w:rPr>
              <w:t xml:space="preserve">Hospital </w:t>
            </w:r>
            <w:r>
              <w:rPr>
                <w:spacing w:val="-4"/>
                <w:sz w:val="20"/>
              </w:rPr>
              <w:t>and Home</w:t>
            </w:r>
          </w:p>
          <w:p>
            <w:pPr>
              <w:pStyle w:val="TableParagraph"/>
              <w:spacing w:line="244" w:lineRule="exact"/>
              <w:ind w:right="283"/>
              <w:rPr>
                <w:sz w:val="20"/>
              </w:rPr>
            </w:pPr>
            <w:r>
              <w:rPr>
                <w:spacing w:val="-2"/>
                <w:sz w:val="20"/>
              </w:rPr>
              <w:t>tuition service</w:t>
            </w:r>
          </w:p>
        </w:tc>
        <w:tc>
          <w:tcPr>
            <w:tcW w:w="1037" w:type="dxa"/>
            <w:shd w:val="clear" w:color="auto" w:fill="FFFF00"/>
          </w:tcPr>
          <w:p>
            <w:pPr>
              <w:pStyle w:val="TableParagraph"/>
              <w:spacing w:before="2"/>
              <w:rPr>
                <w:sz w:val="20"/>
              </w:rPr>
            </w:pPr>
            <w:r>
              <w:rPr>
                <w:spacing w:val="-2"/>
                <w:sz w:val="20"/>
              </w:rPr>
              <w:t>Bespoke</w:t>
            </w:r>
          </w:p>
        </w:tc>
        <w:tc>
          <w:tcPr>
            <w:tcW w:w="692" w:type="dxa"/>
          </w:tcPr>
          <w:p>
            <w:pPr>
              <w:pStyle w:val="TableParagraph"/>
              <w:spacing w:before="2"/>
              <w:ind w:left="106"/>
              <w:rPr>
                <w:b/>
                <w:sz w:val="20"/>
              </w:rPr>
            </w:pPr>
            <w:r>
              <w:rPr>
                <w:b/>
                <w:spacing w:val="-2"/>
                <w:sz w:val="20"/>
              </w:rPr>
              <w:t>Total</w:t>
            </w:r>
          </w:p>
        </w:tc>
      </w:tr>
      <w:tr>
        <w:trPr>
          <w:trHeight w:val="244"/>
        </w:trPr>
        <w:tc>
          <w:tcPr>
            <w:tcW w:w="1890" w:type="dxa"/>
          </w:tcPr>
          <w:p>
            <w:pPr>
              <w:pStyle w:val="TableParagraph"/>
              <w:spacing w:before="2" w:line="222" w:lineRule="exact"/>
              <w:rPr>
                <w:sz w:val="20"/>
              </w:rPr>
            </w:pPr>
            <w:r>
              <w:rPr>
                <w:spacing w:val="-4"/>
                <w:sz w:val="20"/>
              </w:rPr>
              <w:t>EHCP</w:t>
            </w:r>
          </w:p>
        </w:tc>
        <w:tc>
          <w:tcPr>
            <w:tcW w:w="1142" w:type="dxa"/>
            <w:vAlign w:val="center"/>
          </w:tcPr>
          <w:p>
            <w:pPr>
              <w:pStyle w:val="TableParagraph"/>
              <w:spacing w:before="2" w:line="222" w:lineRule="exact"/>
              <w:jc w:val="center"/>
              <w:rPr>
                <w:rFonts w:ascii="Calibri" w:eastAsia="Calibri" w:hAnsi="Calibri" w:cs="Calibri"/>
                <w:sz w:val="20"/>
                <w:szCs w:val="20"/>
                <w:highlight w:val="yellow"/>
              </w:rPr>
            </w:pPr>
            <w:r>
              <w:rPr>
                <w:rFonts w:ascii="Calibri" w:eastAsia="Calibri" w:hAnsi="Calibri" w:cs="Calibri"/>
                <w:spacing w:val="-10"/>
                <w:sz w:val="20"/>
                <w:szCs w:val="20"/>
                <w:highlight w:val="yellow"/>
              </w:rPr>
              <w:t>3</w:t>
            </w:r>
          </w:p>
        </w:tc>
        <w:tc>
          <w:tcPr>
            <w:tcW w:w="1140" w:type="dxa"/>
            <w:vAlign w:val="center"/>
          </w:tcPr>
          <w:p>
            <w:pPr>
              <w:pStyle w:val="TableParagraph"/>
              <w:spacing w:before="2" w:line="222" w:lineRule="exact"/>
              <w:jc w:val="center"/>
              <w:rPr>
                <w:rFonts w:ascii="Calibri" w:eastAsia="Calibri" w:hAnsi="Calibri" w:cs="Calibri"/>
                <w:sz w:val="20"/>
                <w:szCs w:val="20"/>
                <w:highlight w:val="yellow"/>
              </w:rPr>
            </w:pPr>
            <w:r>
              <w:rPr>
                <w:rFonts w:ascii="Calibri" w:eastAsia="Calibri" w:hAnsi="Calibri" w:cs="Calibri"/>
                <w:spacing w:val="-10"/>
                <w:sz w:val="20"/>
                <w:szCs w:val="20"/>
                <w:highlight w:val="yellow"/>
              </w:rPr>
              <w:t>9</w:t>
            </w:r>
          </w:p>
        </w:tc>
        <w:tc>
          <w:tcPr>
            <w:tcW w:w="1110" w:type="dxa"/>
            <w:vAlign w:val="center"/>
          </w:tcPr>
          <w:p>
            <w:pPr>
              <w:pStyle w:val="TableParagraph"/>
              <w:spacing w:before="2" w:line="222" w:lineRule="exact"/>
              <w:jc w:val="center"/>
              <w:rPr>
                <w:rFonts w:ascii="Calibri" w:eastAsia="Calibri" w:hAnsi="Calibri" w:cs="Calibri"/>
                <w:sz w:val="20"/>
                <w:szCs w:val="20"/>
              </w:rPr>
            </w:pPr>
            <w:r>
              <w:rPr>
                <w:rFonts w:ascii="Calibri" w:eastAsia="Calibri" w:hAnsi="Calibri" w:cs="Calibri"/>
                <w:spacing w:val="-10"/>
                <w:sz w:val="20"/>
                <w:szCs w:val="20"/>
              </w:rPr>
              <w:t>1</w:t>
            </w:r>
          </w:p>
        </w:tc>
        <w:tc>
          <w:tcPr>
            <w:tcW w:w="839" w:type="dxa"/>
            <w:vAlign w:val="center"/>
          </w:tcPr>
          <w:p>
            <w:pPr>
              <w:pStyle w:val="TableParagraph"/>
              <w:ind w:left="0"/>
              <w:jc w:val="center"/>
              <w:rPr>
                <w:rFonts w:ascii="Calibri" w:eastAsia="Calibri" w:hAnsi="Calibri" w:cs="Calibri"/>
                <w:sz w:val="20"/>
                <w:szCs w:val="20"/>
              </w:rPr>
            </w:pPr>
            <w:r>
              <w:rPr>
                <w:rFonts w:ascii="Calibri" w:eastAsia="Calibri" w:hAnsi="Calibri" w:cs="Calibri"/>
                <w:sz w:val="20"/>
                <w:szCs w:val="20"/>
              </w:rPr>
              <w:t>6</w:t>
            </w:r>
          </w:p>
        </w:tc>
        <w:tc>
          <w:tcPr>
            <w:tcW w:w="1170" w:type="dxa"/>
            <w:vAlign w:val="center"/>
          </w:tcPr>
          <w:p>
            <w:pPr>
              <w:pStyle w:val="TableParagraph"/>
              <w:spacing w:before="2" w:line="222" w:lineRule="exact"/>
              <w:jc w:val="center"/>
              <w:rPr>
                <w:rFonts w:ascii="Calibri" w:eastAsia="Calibri" w:hAnsi="Calibri" w:cs="Calibri"/>
                <w:sz w:val="20"/>
                <w:szCs w:val="20"/>
              </w:rPr>
            </w:pPr>
            <w:r>
              <w:rPr>
                <w:rFonts w:ascii="Calibri" w:eastAsia="Calibri" w:hAnsi="Calibri" w:cs="Calibri"/>
                <w:spacing w:val="-10"/>
                <w:sz w:val="20"/>
                <w:szCs w:val="20"/>
              </w:rPr>
              <w:t>2</w:t>
            </w:r>
          </w:p>
        </w:tc>
        <w:tc>
          <w:tcPr>
            <w:tcW w:w="1037" w:type="dxa"/>
            <w:shd w:val="clear" w:color="auto" w:fill="FFFF00"/>
            <w:vAlign w:val="center"/>
          </w:tcPr>
          <w:p>
            <w:pPr>
              <w:pStyle w:val="TableParagraph"/>
              <w:ind w:left="0"/>
              <w:jc w:val="center"/>
              <w:rPr>
                <w:rFonts w:ascii="Calibri" w:eastAsia="Calibri" w:hAnsi="Calibri" w:cs="Calibri"/>
                <w:sz w:val="20"/>
                <w:szCs w:val="20"/>
              </w:rPr>
            </w:pPr>
          </w:p>
        </w:tc>
        <w:tc>
          <w:tcPr>
            <w:tcW w:w="692" w:type="dxa"/>
            <w:vAlign w:val="center"/>
          </w:tcPr>
          <w:p>
            <w:pPr>
              <w:pStyle w:val="TableParagraph"/>
              <w:spacing w:before="2" w:line="222" w:lineRule="exact"/>
              <w:ind w:left="106"/>
              <w:jc w:val="center"/>
              <w:rPr>
                <w:rFonts w:ascii="Calibri" w:eastAsia="Calibri" w:hAnsi="Calibri" w:cs="Calibri"/>
                <w:b/>
                <w:bCs/>
                <w:sz w:val="20"/>
                <w:szCs w:val="20"/>
              </w:rPr>
            </w:pPr>
            <w:r>
              <w:rPr>
                <w:rFonts w:ascii="Calibri" w:eastAsia="Calibri" w:hAnsi="Calibri" w:cs="Calibri"/>
                <w:b/>
                <w:bCs/>
                <w:spacing w:val="-5"/>
                <w:sz w:val="20"/>
                <w:szCs w:val="20"/>
              </w:rPr>
              <w:t>21</w:t>
            </w:r>
          </w:p>
        </w:tc>
      </w:tr>
      <w:tr>
        <w:trPr>
          <w:trHeight w:val="491"/>
        </w:trPr>
        <w:tc>
          <w:tcPr>
            <w:tcW w:w="1890" w:type="dxa"/>
          </w:tcPr>
          <w:p>
            <w:pPr>
              <w:pStyle w:val="TableParagraph"/>
              <w:spacing w:line="244" w:lineRule="exact"/>
              <w:ind w:right="610"/>
              <w:rPr>
                <w:sz w:val="20"/>
              </w:rPr>
            </w:pPr>
            <w:r>
              <w:rPr>
                <w:spacing w:val="-2"/>
                <w:sz w:val="20"/>
              </w:rPr>
              <w:t>Under assessment</w:t>
            </w:r>
          </w:p>
        </w:tc>
        <w:tc>
          <w:tcPr>
            <w:tcW w:w="1142" w:type="dxa"/>
            <w:vAlign w:val="center"/>
          </w:tcPr>
          <w:p>
            <w:pPr>
              <w:pStyle w:val="TableParagraph"/>
              <w:spacing w:before="5"/>
              <w:jc w:val="center"/>
              <w:rPr>
                <w:rFonts w:ascii="Calibri" w:eastAsia="Calibri" w:hAnsi="Calibri" w:cs="Calibri"/>
                <w:sz w:val="20"/>
                <w:szCs w:val="20"/>
                <w:highlight w:val="yellow"/>
              </w:rPr>
            </w:pPr>
            <w:r>
              <w:rPr>
                <w:rFonts w:ascii="Calibri" w:eastAsia="Calibri" w:hAnsi="Calibri" w:cs="Calibri"/>
                <w:spacing w:val="-10"/>
                <w:sz w:val="20"/>
                <w:szCs w:val="20"/>
                <w:highlight w:val="yellow"/>
              </w:rPr>
              <w:t>2</w:t>
            </w:r>
          </w:p>
        </w:tc>
        <w:tc>
          <w:tcPr>
            <w:tcW w:w="1140" w:type="dxa"/>
            <w:vAlign w:val="center"/>
          </w:tcPr>
          <w:p>
            <w:pPr>
              <w:pStyle w:val="TableParagraph"/>
              <w:spacing w:before="5"/>
              <w:jc w:val="center"/>
              <w:rPr>
                <w:rFonts w:ascii="Calibri" w:eastAsia="Calibri" w:hAnsi="Calibri" w:cs="Calibri"/>
                <w:sz w:val="20"/>
                <w:szCs w:val="20"/>
                <w:highlight w:val="yellow"/>
              </w:rPr>
            </w:pPr>
            <w:r>
              <w:rPr>
                <w:rFonts w:ascii="Calibri" w:eastAsia="Calibri" w:hAnsi="Calibri" w:cs="Calibri"/>
                <w:spacing w:val="-10"/>
                <w:sz w:val="20"/>
                <w:szCs w:val="20"/>
                <w:highlight w:val="yellow"/>
              </w:rPr>
              <w:t>3</w:t>
            </w:r>
          </w:p>
        </w:tc>
        <w:tc>
          <w:tcPr>
            <w:tcW w:w="1110" w:type="dxa"/>
            <w:vAlign w:val="center"/>
          </w:tcPr>
          <w:p>
            <w:pPr>
              <w:pStyle w:val="TableParagraph"/>
              <w:spacing w:before="5"/>
              <w:jc w:val="center"/>
              <w:rPr>
                <w:rFonts w:ascii="Calibri" w:eastAsia="Calibri" w:hAnsi="Calibri" w:cs="Calibri"/>
                <w:sz w:val="20"/>
                <w:szCs w:val="20"/>
              </w:rPr>
            </w:pPr>
            <w:r>
              <w:rPr>
                <w:rFonts w:ascii="Calibri" w:eastAsia="Calibri" w:hAnsi="Calibri" w:cs="Calibri"/>
                <w:spacing w:val="-10"/>
                <w:sz w:val="20"/>
                <w:szCs w:val="20"/>
              </w:rPr>
              <w:t>0</w:t>
            </w:r>
          </w:p>
        </w:tc>
        <w:tc>
          <w:tcPr>
            <w:tcW w:w="839" w:type="dxa"/>
            <w:vAlign w:val="center"/>
          </w:tcPr>
          <w:p>
            <w:pPr>
              <w:pStyle w:val="TableParagraph"/>
              <w:spacing w:before="5"/>
              <w:jc w:val="center"/>
              <w:rPr>
                <w:rFonts w:ascii="Calibri" w:eastAsia="Calibri" w:hAnsi="Calibri" w:cs="Calibri"/>
                <w:sz w:val="20"/>
                <w:szCs w:val="20"/>
              </w:rPr>
            </w:pPr>
            <w:r>
              <w:rPr>
                <w:rFonts w:ascii="Calibri" w:eastAsia="Calibri" w:hAnsi="Calibri" w:cs="Calibri"/>
                <w:spacing w:val="-10"/>
                <w:sz w:val="20"/>
                <w:szCs w:val="20"/>
              </w:rPr>
              <w:t>2</w:t>
            </w:r>
          </w:p>
        </w:tc>
        <w:tc>
          <w:tcPr>
            <w:tcW w:w="1170" w:type="dxa"/>
            <w:vAlign w:val="center"/>
          </w:tcPr>
          <w:p>
            <w:pPr>
              <w:pStyle w:val="TableParagraph"/>
              <w:ind w:left="0"/>
              <w:jc w:val="center"/>
              <w:rPr>
                <w:rFonts w:ascii="Calibri" w:eastAsia="Calibri" w:hAnsi="Calibri" w:cs="Calibri"/>
                <w:sz w:val="20"/>
                <w:szCs w:val="20"/>
              </w:rPr>
            </w:pPr>
            <w:r>
              <w:rPr>
                <w:rFonts w:ascii="Calibri" w:eastAsia="Calibri" w:hAnsi="Calibri" w:cs="Calibri"/>
                <w:sz w:val="20"/>
                <w:szCs w:val="20"/>
              </w:rPr>
              <w:t>2</w:t>
            </w:r>
          </w:p>
        </w:tc>
        <w:tc>
          <w:tcPr>
            <w:tcW w:w="1037" w:type="dxa"/>
            <w:shd w:val="clear" w:color="auto" w:fill="FFFF00"/>
            <w:vAlign w:val="center"/>
          </w:tcPr>
          <w:p>
            <w:pPr>
              <w:pStyle w:val="TableParagraph"/>
              <w:ind w:left="0"/>
              <w:jc w:val="center"/>
              <w:rPr>
                <w:rFonts w:ascii="Calibri" w:eastAsia="Calibri" w:hAnsi="Calibri" w:cs="Calibri"/>
                <w:sz w:val="20"/>
                <w:szCs w:val="20"/>
              </w:rPr>
            </w:pPr>
          </w:p>
        </w:tc>
        <w:tc>
          <w:tcPr>
            <w:tcW w:w="692" w:type="dxa"/>
            <w:vAlign w:val="center"/>
          </w:tcPr>
          <w:p>
            <w:pPr>
              <w:pStyle w:val="TableParagraph"/>
              <w:spacing w:before="5"/>
              <w:ind w:left="0"/>
              <w:jc w:val="center"/>
              <w:rPr>
                <w:rFonts w:ascii="Calibri" w:eastAsia="Calibri" w:hAnsi="Calibri" w:cs="Calibri"/>
                <w:b/>
                <w:bCs/>
                <w:sz w:val="20"/>
                <w:szCs w:val="20"/>
              </w:rPr>
            </w:pPr>
            <w:r>
              <w:rPr>
                <w:rFonts w:ascii="Calibri" w:eastAsia="Calibri" w:hAnsi="Calibri" w:cs="Calibri"/>
                <w:b/>
                <w:bCs/>
                <w:spacing w:val="-10"/>
                <w:sz w:val="20"/>
                <w:szCs w:val="20"/>
              </w:rPr>
              <w:t>9</w:t>
            </w:r>
          </w:p>
        </w:tc>
      </w:tr>
    </w:tbl>
    <w:p>
      <w:pPr>
        <w:pStyle w:val="BodyText"/>
        <w:ind w:left="0"/>
        <w:rPr>
          <w:sz w:val="28"/>
        </w:rPr>
      </w:pPr>
    </w:p>
    <w:p>
      <w:pPr>
        <w:pStyle w:val="BodyText"/>
        <w:ind w:left="0"/>
        <w:rPr>
          <w:sz w:val="28"/>
        </w:rPr>
      </w:pPr>
    </w:p>
    <w:p>
      <w:pPr>
        <w:pStyle w:val="BodyText"/>
        <w:spacing w:before="36"/>
        <w:ind w:left="0"/>
        <w:rPr>
          <w:sz w:val="28"/>
        </w:rPr>
      </w:pPr>
    </w:p>
    <w:p>
      <w:pPr>
        <w:pStyle w:val="Heading1"/>
      </w:pPr>
      <w:r>
        <w:t>How</w:t>
      </w:r>
      <w:r>
        <w:rPr>
          <w:spacing w:val="-3"/>
        </w:rPr>
        <w:t xml:space="preserve"> </w:t>
      </w:r>
      <w:r>
        <w:t>is</w:t>
      </w:r>
      <w:r>
        <w:rPr>
          <w:spacing w:val="-2"/>
        </w:rPr>
        <w:t xml:space="preserve"> </w:t>
      </w:r>
      <w:r>
        <w:t>SEND</w:t>
      </w:r>
      <w:r>
        <w:rPr>
          <w:spacing w:val="-1"/>
        </w:rPr>
        <w:t xml:space="preserve"> </w:t>
      </w:r>
      <w:r>
        <w:rPr>
          <w:spacing w:val="-2"/>
        </w:rPr>
        <w:t>identified?</w:t>
      </w:r>
    </w:p>
    <w:p>
      <w:pPr>
        <w:spacing w:before="240" w:after="240"/>
        <w:rPr>
          <w:color w:val="000000" w:themeColor="text1"/>
          <w:sz w:val="24"/>
          <w:szCs w:val="24"/>
        </w:rPr>
      </w:pPr>
      <w:r>
        <w:rPr>
          <w:color w:val="000000" w:themeColor="text1"/>
          <w:sz w:val="24"/>
          <w:szCs w:val="24"/>
        </w:rPr>
        <w:t>Many pupils come to us with a pre-existing diagnosis of a learning need or disability or have had a learning need identified at their primary or other secondary schools.</w:t>
      </w:r>
    </w:p>
    <w:p>
      <w:pPr>
        <w:spacing w:before="240" w:after="240"/>
        <w:rPr>
          <w:color w:val="000000" w:themeColor="text1"/>
          <w:sz w:val="24"/>
          <w:szCs w:val="24"/>
        </w:rPr>
      </w:pPr>
      <w:r>
        <w:rPr>
          <w:color w:val="000000" w:themeColor="text1"/>
          <w:sz w:val="24"/>
          <w:szCs w:val="24"/>
        </w:rPr>
        <w:t>We will assess each pupil’s current skills and levels of attainment using the GL Assessment suite (details below), and other screening tools which involve conversations with the students.  Which will build on previous settings and Key Stages when we are made aware of the data.  In addition, class teachers will make regular assessments of progress for all students and identify those whose progress:</w:t>
      </w:r>
    </w:p>
    <w:p>
      <w:pPr>
        <w:spacing w:before="240" w:after="240"/>
        <w:rPr>
          <w:color w:val="000000" w:themeColor="text1"/>
          <w:sz w:val="24"/>
          <w:szCs w:val="24"/>
        </w:rPr>
      </w:pPr>
      <w:r>
        <w:rPr>
          <w:color w:val="000000" w:themeColor="text1"/>
          <w:sz w:val="24"/>
          <w:szCs w:val="24"/>
        </w:rPr>
        <w:t>• Is significantly slower than that of their peers starting from the same baseline</w:t>
      </w:r>
    </w:p>
    <w:p>
      <w:pPr>
        <w:spacing w:before="240" w:after="240"/>
        <w:rPr>
          <w:color w:val="000000" w:themeColor="text1"/>
          <w:sz w:val="24"/>
          <w:szCs w:val="24"/>
        </w:rPr>
      </w:pPr>
      <w:r>
        <w:rPr>
          <w:color w:val="000000" w:themeColor="text1"/>
          <w:sz w:val="24"/>
          <w:szCs w:val="24"/>
        </w:rPr>
        <w:t>• Fails to match or better the child’s previous rate of progress</w:t>
      </w:r>
    </w:p>
    <w:p>
      <w:pPr>
        <w:spacing w:before="240" w:after="240"/>
        <w:rPr>
          <w:color w:val="000000" w:themeColor="text1"/>
          <w:sz w:val="24"/>
          <w:szCs w:val="24"/>
        </w:rPr>
      </w:pPr>
      <w:r>
        <w:rPr>
          <w:color w:val="000000" w:themeColor="text1"/>
          <w:sz w:val="24"/>
          <w:szCs w:val="24"/>
        </w:rPr>
        <w:t>• Fails to close the attainment gap between the child and their peers</w:t>
      </w:r>
    </w:p>
    <w:p>
      <w:pPr>
        <w:spacing w:before="240" w:after="240"/>
        <w:rPr>
          <w:color w:val="000000" w:themeColor="text1"/>
          <w:sz w:val="24"/>
          <w:szCs w:val="24"/>
        </w:rPr>
      </w:pPr>
      <w:r>
        <w:rPr>
          <w:color w:val="000000" w:themeColor="text1"/>
          <w:sz w:val="24"/>
          <w:szCs w:val="24"/>
        </w:rPr>
        <w:t>• Widens the attainment gap</w:t>
      </w:r>
    </w:p>
    <w:p>
      <w:pPr>
        <w:spacing w:before="240" w:after="240"/>
        <w:rPr>
          <w:sz w:val="24"/>
          <w:szCs w:val="24"/>
        </w:rPr>
      </w:pPr>
      <w:r>
        <w:rPr>
          <w:color w:val="000000" w:themeColor="text1"/>
          <w:sz w:val="24"/>
          <w:szCs w:val="24"/>
        </w:rPr>
        <w:t>This may include progress in areas other than attainment, for example, social needs.</w:t>
      </w:r>
      <w:r>
        <w:rPr>
          <w:sz w:val="24"/>
          <w:szCs w:val="24"/>
        </w:rPr>
        <w:t xml:space="preserve"> </w:t>
      </w:r>
    </w:p>
    <w:p>
      <w:pPr>
        <w:pStyle w:val="BodyText"/>
        <w:spacing w:before="186" w:line="259" w:lineRule="auto"/>
        <w:ind w:left="0" w:right="143"/>
      </w:pPr>
      <w:r>
        <w:lastRenderedPageBreak/>
        <w:t>All pupils entering EOTAS Swindon are placed on the SEN Register at SEN Support for Social, Emotional and Mental Health Needs, other than those on the</w:t>
      </w:r>
      <w:r>
        <w:rPr>
          <w:spacing w:val="-3"/>
        </w:rPr>
        <w:t xml:space="preserve"> </w:t>
      </w:r>
      <w:r>
        <w:t>roll</w:t>
      </w:r>
      <w:r>
        <w:rPr>
          <w:spacing w:val="-1"/>
        </w:rPr>
        <w:t xml:space="preserve"> </w:t>
      </w:r>
      <w:r>
        <w:t>of</w:t>
      </w:r>
      <w:r>
        <w:rPr>
          <w:spacing w:val="-5"/>
        </w:rPr>
        <w:t xml:space="preserve"> </w:t>
      </w:r>
      <w:r>
        <w:t>the</w:t>
      </w:r>
      <w:r>
        <w:rPr>
          <w:spacing w:val="-3"/>
        </w:rPr>
        <w:t xml:space="preserve"> </w:t>
      </w:r>
      <w:r>
        <w:t>Hospital and</w:t>
      </w:r>
      <w:r>
        <w:rPr>
          <w:spacing w:val="-3"/>
        </w:rPr>
        <w:t xml:space="preserve"> </w:t>
      </w:r>
      <w:r>
        <w:t>Home</w:t>
      </w:r>
      <w:r>
        <w:rPr>
          <w:spacing w:val="-3"/>
        </w:rPr>
        <w:t xml:space="preserve"> </w:t>
      </w:r>
      <w:r>
        <w:t>Tuition</w:t>
      </w:r>
      <w:r>
        <w:rPr>
          <w:spacing w:val="-3"/>
        </w:rPr>
        <w:t xml:space="preserve"> </w:t>
      </w:r>
      <w:r>
        <w:t>Service,</w:t>
      </w:r>
      <w:r>
        <w:rPr>
          <w:spacing w:val="-5"/>
        </w:rPr>
        <w:t xml:space="preserve"> </w:t>
      </w:r>
      <w:r>
        <w:t>where</w:t>
      </w:r>
      <w:r>
        <w:rPr>
          <w:spacing w:val="-3"/>
        </w:rPr>
        <w:t xml:space="preserve"> </w:t>
      </w:r>
      <w:r>
        <w:t>a</w:t>
      </w:r>
      <w:r>
        <w:rPr>
          <w:spacing w:val="-3"/>
        </w:rPr>
        <w:t xml:space="preserve"> </w:t>
      </w:r>
      <w:r>
        <w:t>decision</w:t>
      </w:r>
      <w:r>
        <w:rPr>
          <w:spacing w:val="-3"/>
        </w:rPr>
        <w:t xml:space="preserve"> </w:t>
      </w:r>
      <w:r>
        <w:t>is</w:t>
      </w:r>
      <w:r>
        <w:rPr>
          <w:spacing w:val="-5"/>
        </w:rPr>
        <w:t xml:space="preserve"> </w:t>
      </w:r>
      <w:r>
        <w:t>made</w:t>
      </w:r>
      <w:r>
        <w:rPr>
          <w:spacing w:val="-3"/>
        </w:rPr>
        <w:t xml:space="preserve"> </w:t>
      </w:r>
      <w:r>
        <w:t>on a case by case basis.</w:t>
      </w:r>
      <w:r>
        <w:rPr>
          <w:spacing w:val="40"/>
        </w:rPr>
        <w:t xml:space="preserve"> </w:t>
      </w:r>
      <w:r>
        <w:t>A detailed assessment and information gathering process is carried out as part of the admission process, to identify whether pupils have SEN in other areas.</w:t>
      </w:r>
    </w:p>
    <w:p>
      <w:pPr>
        <w:pStyle w:val="BodyText"/>
        <w:ind w:left="0"/>
      </w:pPr>
    </w:p>
    <w:p>
      <w:pPr>
        <w:pStyle w:val="BodyText"/>
        <w:spacing w:before="50"/>
        <w:ind w:left="0"/>
      </w:pPr>
    </w:p>
    <w:p>
      <w:pPr>
        <w:pStyle w:val="BodyText"/>
      </w:pPr>
      <w:r>
        <w:t>GL and intake assessments</w:t>
      </w:r>
      <w:r>
        <w:rPr>
          <w:spacing w:val="-9"/>
        </w:rPr>
        <w:t xml:space="preserve"> </w:t>
      </w:r>
      <w:r>
        <w:rPr>
          <w:spacing w:val="-2"/>
        </w:rPr>
        <w:t>include:</w:t>
      </w:r>
    </w:p>
    <w:p>
      <w:pPr>
        <w:pStyle w:val="BodyText"/>
        <w:spacing w:before="183" w:line="388" w:lineRule="auto"/>
        <w:ind w:right="3969"/>
      </w:pPr>
      <w:r>
        <w:t>Pupil</w:t>
      </w:r>
      <w:r>
        <w:rPr>
          <w:spacing w:val="-4"/>
        </w:rPr>
        <w:t xml:space="preserve"> </w:t>
      </w:r>
      <w:r>
        <w:t>Attitudes</w:t>
      </w:r>
      <w:r>
        <w:rPr>
          <w:spacing w:val="-5"/>
        </w:rPr>
        <w:t xml:space="preserve"> </w:t>
      </w:r>
      <w:r>
        <w:t>to</w:t>
      </w:r>
      <w:r>
        <w:rPr>
          <w:spacing w:val="-9"/>
        </w:rPr>
        <w:t xml:space="preserve"> </w:t>
      </w:r>
      <w:r>
        <w:t>Self</w:t>
      </w:r>
      <w:r>
        <w:rPr>
          <w:spacing w:val="-8"/>
        </w:rPr>
        <w:t xml:space="preserve"> </w:t>
      </w:r>
      <w:r>
        <w:t>and</w:t>
      </w:r>
      <w:r>
        <w:rPr>
          <w:spacing w:val="-7"/>
        </w:rPr>
        <w:t xml:space="preserve"> </w:t>
      </w:r>
      <w:r>
        <w:t>School</w:t>
      </w:r>
      <w:r>
        <w:rPr>
          <w:spacing w:val="-6"/>
        </w:rPr>
        <w:t xml:space="preserve"> </w:t>
      </w:r>
      <w:r>
        <w:t>(PASS) SEMH pupil profile</w:t>
      </w:r>
    </w:p>
    <w:p>
      <w:pPr>
        <w:pStyle w:val="BodyText"/>
        <w:spacing w:before="2"/>
      </w:pPr>
      <w:r>
        <w:t>CAT4</w:t>
      </w:r>
      <w:r>
        <w:rPr>
          <w:spacing w:val="-3"/>
        </w:rPr>
        <w:t xml:space="preserve"> </w:t>
      </w:r>
      <w:r>
        <w:t>–</w:t>
      </w:r>
      <w:r>
        <w:rPr>
          <w:spacing w:val="-1"/>
        </w:rPr>
        <w:t xml:space="preserve"> </w:t>
      </w:r>
      <w:r>
        <w:t>assessment</w:t>
      </w:r>
      <w:r>
        <w:rPr>
          <w:spacing w:val="-6"/>
        </w:rPr>
        <w:t xml:space="preserve"> </w:t>
      </w:r>
      <w:r>
        <w:t>of</w:t>
      </w:r>
      <w:r>
        <w:rPr>
          <w:spacing w:val="-2"/>
        </w:rPr>
        <w:t xml:space="preserve"> </w:t>
      </w:r>
      <w:r>
        <w:t>academic</w:t>
      </w:r>
      <w:r>
        <w:rPr>
          <w:spacing w:val="-1"/>
        </w:rPr>
        <w:t xml:space="preserve"> </w:t>
      </w:r>
      <w:r>
        <w:rPr>
          <w:spacing w:val="-2"/>
        </w:rPr>
        <w:t>potential</w:t>
      </w:r>
    </w:p>
    <w:p>
      <w:pPr>
        <w:sectPr>
          <w:pgSz w:w="11910" w:h="16840"/>
          <w:pgMar w:top="1840" w:right="1320" w:bottom="280" w:left="1340" w:header="708" w:footer="0" w:gutter="0"/>
          <w:cols w:space="720"/>
        </w:sectPr>
      </w:pPr>
    </w:p>
    <w:p>
      <w:pPr>
        <w:pStyle w:val="BodyText"/>
        <w:spacing w:before="90"/>
      </w:pPr>
      <w:r>
        <w:lastRenderedPageBreak/>
        <w:t>Progress</w:t>
      </w:r>
      <w:r>
        <w:rPr>
          <w:spacing w:val="-5"/>
        </w:rPr>
        <w:t xml:space="preserve"> </w:t>
      </w:r>
      <w:r>
        <w:t>Test</w:t>
      </w:r>
      <w:r>
        <w:rPr>
          <w:spacing w:val="-7"/>
        </w:rPr>
        <w:t xml:space="preserve"> </w:t>
      </w:r>
      <w:r>
        <w:rPr>
          <w:spacing w:val="-4"/>
        </w:rPr>
        <w:t>Maths</w:t>
      </w:r>
    </w:p>
    <w:p>
      <w:pPr>
        <w:pStyle w:val="BodyText"/>
        <w:spacing w:before="184" w:line="388" w:lineRule="auto"/>
        <w:ind w:right="143"/>
      </w:pPr>
      <w:r>
        <w:t>LUCID</w:t>
      </w:r>
      <w:r>
        <w:rPr>
          <w:spacing w:val="-4"/>
        </w:rPr>
        <w:t xml:space="preserve"> </w:t>
      </w:r>
      <w:r>
        <w:t>–</w:t>
      </w:r>
      <w:r>
        <w:rPr>
          <w:spacing w:val="-5"/>
        </w:rPr>
        <w:t xml:space="preserve"> </w:t>
      </w:r>
      <w:r>
        <w:t>word</w:t>
      </w:r>
      <w:r>
        <w:rPr>
          <w:spacing w:val="-5"/>
        </w:rPr>
        <w:t xml:space="preserve"> </w:t>
      </w:r>
      <w:r>
        <w:t>reading,</w:t>
      </w:r>
      <w:r>
        <w:rPr>
          <w:spacing w:val="-6"/>
        </w:rPr>
        <w:t xml:space="preserve"> </w:t>
      </w:r>
      <w:r>
        <w:t>reading</w:t>
      </w:r>
      <w:r>
        <w:rPr>
          <w:spacing w:val="-4"/>
        </w:rPr>
        <w:t xml:space="preserve"> </w:t>
      </w:r>
      <w:r>
        <w:t>comprehension,</w:t>
      </w:r>
      <w:r>
        <w:rPr>
          <w:spacing w:val="-5"/>
        </w:rPr>
        <w:t xml:space="preserve"> </w:t>
      </w:r>
      <w:r>
        <w:t>processing</w:t>
      </w:r>
      <w:r>
        <w:rPr>
          <w:spacing w:val="-4"/>
        </w:rPr>
        <w:t xml:space="preserve"> </w:t>
      </w:r>
      <w:r>
        <w:t>speed,</w:t>
      </w:r>
      <w:r>
        <w:rPr>
          <w:spacing w:val="-5"/>
        </w:rPr>
        <w:t xml:space="preserve"> </w:t>
      </w:r>
      <w:r>
        <w:t>spelling Dyslexia Screener (if LUCID indicates that this is appropriate)</w:t>
      </w:r>
    </w:p>
    <w:p>
      <w:pPr>
        <w:pStyle w:val="BodyText"/>
        <w:spacing w:before="1"/>
      </w:pPr>
      <w:r>
        <w:t>Progression</w:t>
      </w:r>
      <w:r>
        <w:rPr>
          <w:spacing w:val="-5"/>
        </w:rPr>
        <w:t xml:space="preserve"> </w:t>
      </w:r>
      <w:r>
        <w:t>Tool</w:t>
      </w:r>
      <w:r>
        <w:rPr>
          <w:spacing w:val="-4"/>
        </w:rPr>
        <w:t xml:space="preserve"> </w:t>
      </w:r>
      <w:r>
        <w:t>(Communication</w:t>
      </w:r>
      <w:r>
        <w:rPr>
          <w:spacing w:val="-6"/>
        </w:rPr>
        <w:t xml:space="preserve"> </w:t>
      </w:r>
      <w:r>
        <w:rPr>
          <w:spacing w:val="-2"/>
        </w:rPr>
        <w:t>Screen)</w:t>
      </w:r>
    </w:p>
    <w:p>
      <w:pPr>
        <w:pStyle w:val="BodyText"/>
        <w:spacing w:before="181" w:line="259" w:lineRule="auto"/>
        <w:ind w:right="143"/>
      </w:pPr>
      <w:r>
        <w:t>Full</w:t>
      </w:r>
      <w:r>
        <w:rPr>
          <w:spacing w:val="-3"/>
        </w:rPr>
        <w:t xml:space="preserve"> </w:t>
      </w:r>
      <w:r>
        <w:t>Speech</w:t>
      </w:r>
      <w:r>
        <w:rPr>
          <w:spacing w:val="-8"/>
        </w:rPr>
        <w:t xml:space="preserve"> </w:t>
      </w:r>
      <w:r>
        <w:t>and</w:t>
      </w:r>
      <w:r>
        <w:rPr>
          <w:spacing w:val="-5"/>
        </w:rPr>
        <w:t xml:space="preserve"> </w:t>
      </w:r>
      <w:r>
        <w:t>Language</w:t>
      </w:r>
      <w:r>
        <w:rPr>
          <w:spacing w:val="-5"/>
        </w:rPr>
        <w:t xml:space="preserve"> </w:t>
      </w:r>
      <w:r>
        <w:t>Assessment</w:t>
      </w:r>
      <w:r>
        <w:rPr>
          <w:spacing w:val="-7"/>
        </w:rPr>
        <w:t xml:space="preserve"> </w:t>
      </w:r>
      <w:r>
        <w:t>(if</w:t>
      </w:r>
      <w:r>
        <w:rPr>
          <w:spacing w:val="-1"/>
        </w:rPr>
        <w:t xml:space="preserve"> </w:t>
      </w:r>
      <w:r>
        <w:t>the</w:t>
      </w:r>
      <w:r>
        <w:rPr>
          <w:spacing w:val="-5"/>
        </w:rPr>
        <w:t xml:space="preserve"> </w:t>
      </w:r>
      <w:r>
        <w:t>Progression</w:t>
      </w:r>
      <w:r>
        <w:rPr>
          <w:spacing w:val="-5"/>
        </w:rPr>
        <w:t xml:space="preserve"> </w:t>
      </w:r>
      <w:r>
        <w:t>Tool</w:t>
      </w:r>
      <w:r>
        <w:rPr>
          <w:spacing w:val="-5"/>
        </w:rPr>
        <w:t xml:space="preserve"> </w:t>
      </w:r>
      <w:r>
        <w:t>indicates</w:t>
      </w:r>
      <w:r>
        <w:rPr>
          <w:spacing w:val="-2"/>
        </w:rPr>
        <w:t xml:space="preserve"> </w:t>
      </w:r>
      <w:r>
        <w:t>that this is appropriate</w:t>
      </w:r>
    </w:p>
    <w:p>
      <w:pPr>
        <w:pStyle w:val="BodyText"/>
        <w:spacing w:before="161"/>
      </w:pPr>
      <w:r>
        <w:t>Multi-element</w:t>
      </w:r>
      <w:r>
        <w:rPr>
          <w:spacing w:val="-7"/>
        </w:rPr>
        <w:t xml:space="preserve"> </w:t>
      </w:r>
      <w:r>
        <w:t>plan –</w:t>
      </w:r>
      <w:r>
        <w:rPr>
          <w:spacing w:val="-4"/>
        </w:rPr>
        <w:t xml:space="preserve"> </w:t>
      </w:r>
      <w:r>
        <w:t>used</w:t>
      </w:r>
      <w:r>
        <w:rPr>
          <w:spacing w:val="-1"/>
        </w:rPr>
        <w:t xml:space="preserve"> </w:t>
      </w:r>
      <w:r>
        <w:t>to</w:t>
      </w:r>
      <w:r>
        <w:rPr>
          <w:spacing w:val="-4"/>
        </w:rPr>
        <w:t xml:space="preserve"> </w:t>
      </w:r>
      <w:r>
        <w:t>gain</w:t>
      </w:r>
      <w:r>
        <w:rPr>
          <w:spacing w:val="-2"/>
        </w:rPr>
        <w:t xml:space="preserve"> </w:t>
      </w:r>
      <w:r>
        <w:t>pupil</w:t>
      </w:r>
      <w:r>
        <w:rPr>
          <w:spacing w:val="3"/>
        </w:rPr>
        <w:t xml:space="preserve"> </w:t>
      </w:r>
      <w:r>
        <w:rPr>
          <w:spacing w:val="-2"/>
        </w:rPr>
        <w:t>voice</w:t>
      </w:r>
    </w:p>
    <w:p>
      <w:pPr>
        <w:pStyle w:val="BodyText"/>
        <w:ind w:left="0"/>
      </w:pPr>
    </w:p>
    <w:p>
      <w:pPr>
        <w:pStyle w:val="BodyText"/>
        <w:spacing w:before="126"/>
        <w:ind w:left="0"/>
      </w:pPr>
    </w:p>
    <w:p>
      <w:pPr>
        <w:pStyle w:val="BodyText"/>
      </w:pPr>
      <w:r>
        <w:t>Information</w:t>
      </w:r>
      <w:r>
        <w:rPr>
          <w:spacing w:val="-4"/>
        </w:rPr>
        <w:t xml:space="preserve"> </w:t>
      </w:r>
      <w:r>
        <w:t>is</w:t>
      </w:r>
      <w:r>
        <w:rPr>
          <w:spacing w:val="-4"/>
        </w:rPr>
        <w:t xml:space="preserve"> </w:t>
      </w:r>
      <w:r>
        <w:t>gathered</w:t>
      </w:r>
      <w:r>
        <w:rPr>
          <w:spacing w:val="-3"/>
        </w:rPr>
        <w:t xml:space="preserve"> </w:t>
      </w:r>
      <w:r>
        <w:rPr>
          <w:spacing w:val="-4"/>
        </w:rPr>
        <w:t>from:</w:t>
      </w:r>
    </w:p>
    <w:p>
      <w:pPr>
        <w:pStyle w:val="BodyText"/>
        <w:spacing w:before="184" w:line="388" w:lineRule="auto"/>
        <w:ind w:right="6947"/>
      </w:pPr>
      <w:r>
        <w:rPr>
          <w:spacing w:val="-2"/>
        </w:rPr>
        <w:t>Pupil Parents/Carers</w:t>
      </w:r>
    </w:p>
    <w:p>
      <w:pPr>
        <w:pStyle w:val="BodyText"/>
        <w:spacing w:before="1" w:line="388" w:lineRule="auto"/>
        <w:ind w:right="143"/>
      </w:pPr>
      <w:r>
        <w:t>The</w:t>
      </w:r>
      <w:r>
        <w:rPr>
          <w:spacing w:val="-3"/>
        </w:rPr>
        <w:t xml:space="preserve"> </w:t>
      </w:r>
      <w:r>
        <w:t>school</w:t>
      </w:r>
      <w:r>
        <w:rPr>
          <w:spacing w:val="-1"/>
        </w:rPr>
        <w:t xml:space="preserve"> </w:t>
      </w:r>
      <w:r>
        <w:t>that</w:t>
      </w:r>
      <w:r>
        <w:rPr>
          <w:spacing w:val="-5"/>
        </w:rPr>
        <w:t xml:space="preserve"> </w:t>
      </w:r>
      <w:r>
        <w:t>the</w:t>
      </w:r>
      <w:r>
        <w:rPr>
          <w:spacing w:val="-3"/>
        </w:rPr>
        <w:t xml:space="preserve"> </w:t>
      </w:r>
      <w:r>
        <w:t>pupil is</w:t>
      </w:r>
      <w:r>
        <w:rPr>
          <w:spacing w:val="-5"/>
        </w:rPr>
        <w:t xml:space="preserve"> </w:t>
      </w:r>
      <w:r>
        <w:t>on</w:t>
      </w:r>
      <w:r>
        <w:rPr>
          <w:spacing w:val="-3"/>
        </w:rPr>
        <w:t xml:space="preserve"> </w:t>
      </w:r>
      <w:r>
        <w:t>the</w:t>
      </w:r>
      <w:r>
        <w:rPr>
          <w:spacing w:val="-3"/>
        </w:rPr>
        <w:t xml:space="preserve"> </w:t>
      </w:r>
      <w:r>
        <w:t>roll</w:t>
      </w:r>
      <w:r>
        <w:rPr>
          <w:spacing w:val="-1"/>
        </w:rPr>
        <w:t xml:space="preserve"> </w:t>
      </w:r>
      <w:r>
        <w:t>of</w:t>
      </w:r>
      <w:r>
        <w:rPr>
          <w:spacing w:val="-5"/>
        </w:rPr>
        <w:t xml:space="preserve"> </w:t>
      </w:r>
      <w:r>
        <w:t>or</w:t>
      </w:r>
      <w:r>
        <w:rPr>
          <w:spacing w:val="-7"/>
        </w:rPr>
        <w:t xml:space="preserve"> </w:t>
      </w:r>
      <w:r>
        <w:t>has</w:t>
      </w:r>
      <w:r>
        <w:rPr>
          <w:spacing w:val="-3"/>
        </w:rPr>
        <w:t xml:space="preserve"> </w:t>
      </w:r>
      <w:r>
        <w:t>been</w:t>
      </w:r>
      <w:r>
        <w:rPr>
          <w:spacing w:val="-3"/>
        </w:rPr>
        <w:t xml:space="preserve"> </w:t>
      </w:r>
      <w:r>
        <w:t>excluded</w:t>
      </w:r>
      <w:r>
        <w:rPr>
          <w:spacing w:val="-4"/>
        </w:rPr>
        <w:t xml:space="preserve"> </w:t>
      </w:r>
      <w:r>
        <w:t>from Professionals involved with the pupil/professional reports</w:t>
      </w:r>
    </w:p>
    <w:p>
      <w:pPr>
        <w:pStyle w:val="BodyText"/>
        <w:spacing w:before="2"/>
      </w:pPr>
      <w:r>
        <w:t>Early</w:t>
      </w:r>
      <w:r>
        <w:rPr>
          <w:spacing w:val="-3"/>
        </w:rPr>
        <w:t xml:space="preserve"> </w:t>
      </w:r>
      <w:r>
        <w:t>Help</w:t>
      </w:r>
      <w:r>
        <w:rPr>
          <w:spacing w:val="-4"/>
        </w:rPr>
        <w:t xml:space="preserve"> </w:t>
      </w:r>
      <w:r>
        <w:t>Record</w:t>
      </w:r>
      <w:r>
        <w:rPr>
          <w:spacing w:val="1"/>
        </w:rPr>
        <w:t xml:space="preserve"> </w:t>
      </w:r>
      <w:r>
        <w:t>and</w:t>
      </w:r>
      <w:r>
        <w:rPr>
          <w:spacing w:val="-2"/>
        </w:rPr>
        <w:t xml:space="preserve"> </w:t>
      </w:r>
      <w:r>
        <w:t>Plan</w:t>
      </w:r>
      <w:r>
        <w:rPr>
          <w:spacing w:val="-3"/>
        </w:rPr>
        <w:t xml:space="preserve"> </w:t>
      </w:r>
      <w:r>
        <w:t>if</w:t>
      </w:r>
      <w:r>
        <w:rPr>
          <w:spacing w:val="-2"/>
        </w:rPr>
        <w:t xml:space="preserve"> completed</w:t>
      </w:r>
    </w:p>
    <w:p>
      <w:pPr>
        <w:pStyle w:val="BodyText"/>
        <w:ind w:left="0"/>
      </w:pPr>
    </w:p>
    <w:p>
      <w:pPr>
        <w:pStyle w:val="BodyText"/>
        <w:spacing w:before="125"/>
        <w:ind w:left="0"/>
      </w:pPr>
    </w:p>
    <w:p>
      <w:pPr>
        <w:pStyle w:val="BodyText"/>
        <w:spacing w:line="259" w:lineRule="auto"/>
        <w:ind w:right="143"/>
      </w:pPr>
      <w:r>
        <w:t>Assessment</w:t>
      </w:r>
      <w:r>
        <w:rPr>
          <w:spacing w:val="-8"/>
        </w:rPr>
        <w:t xml:space="preserve"> </w:t>
      </w:r>
      <w:r>
        <w:t>data</w:t>
      </w:r>
      <w:r>
        <w:rPr>
          <w:spacing w:val="-5"/>
        </w:rPr>
        <w:t xml:space="preserve"> </w:t>
      </w:r>
      <w:r>
        <w:t>and</w:t>
      </w:r>
      <w:r>
        <w:rPr>
          <w:spacing w:val="-4"/>
        </w:rPr>
        <w:t xml:space="preserve"> </w:t>
      </w:r>
      <w:r>
        <w:t>information</w:t>
      </w:r>
      <w:r>
        <w:rPr>
          <w:spacing w:val="-4"/>
        </w:rPr>
        <w:t xml:space="preserve"> </w:t>
      </w:r>
      <w:r>
        <w:t>gathered</w:t>
      </w:r>
      <w:r>
        <w:rPr>
          <w:spacing w:val="-4"/>
        </w:rPr>
        <w:t xml:space="preserve"> </w:t>
      </w:r>
      <w:r>
        <w:t>is</w:t>
      </w:r>
      <w:r>
        <w:rPr>
          <w:spacing w:val="-4"/>
        </w:rPr>
        <w:t xml:space="preserve"> </w:t>
      </w:r>
      <w:r>
        <w:t>analysed</w:t>
      </w:r>
      <w:r>
        <w:rPr>
          <w:spacing w:val="-4"/>
        </w:rPr>
        <w:t xml:space="preserve"> </w:t>
      </w:r>
      <w:r>
        <w:t>to</w:t>
      </w:r>
      <w:r>
        <w:rPr>
          <w:spacing w:val="-6"/>
        </w:rPr>
        <w:t xml:space="preserve"> </w:t>
      </w:r>
      <w:r>
        <w:t>identify</w:t>
      </w:r>
      <w:r>
        <w:rPr>
          <w:spacing w:val="-6"/>
        </w:rPr>
        <w:t xml:space="preserve"> </w:t>
      </w:r>
      <w:r>
        <w:t>strengths and needs and this is used to inform support including strategies used to support the pupil, targeted intervention and referrals to outside agencies.</w:t>
      </w:r>
    </w:p>
    <w:p>
      <w:pPr>
        <w:pStyle w:val="BodyText"/>
        <w:spacing w:before="159" w:line="259" w:lineRule="auto"/>
        <w:ind w:right="140"/>
      </w:pPr>
      <w:r>
        <w:t>Information gathered is summarised on a ‘Pupil Passport’, which is used to share key information about the pupil with all members of staff.</w:t>
      </w:r>
      <w:r>
        <w:rPr>
          <w:spacing w:val="40"/>
        </w:rPr>
        <w:t xml:space="preserve"> </w:t>
      </w:r>
      <w:r>
        <w:t>The Pupil Passport also includes important information about the pupil’s triggers, presenting</w:t>
      </w:r>
      <w:r>
        <w:rPr>
          <w:spacing w:val="-5"/>
        </w:rPr>
        <w:t xml:space="preserve"> </w:t>
      </w:r>
      <w:r>
        <w:t>behaviours</w:t>
      </w:r>
      <w:r>
        <w:rPr>
          <w:spacing w:val="-4"/>
        </w:rPr>
        <w:t xml:space="preserve"> </w:t>
      </w:r>
      <w:r>
        <w:t>and</w:t>
      </w:r>
      <w:r>
        <w:rPr>
          <w:spacing w:val="-4"/>
        </w:rPr>
        <w:t xml:space="preserve"> </w:t>
      </w:r>
      <w:r>
        <w:t>strategies</w:t>
      </w:r>
      <w:r>
        <w:rPr>
          <w:spacing w:val="-2"/>
        </w:rPr>
        <w:t xml:space="preserve"> </w:t>
      </w:r>
      <w:r>
        <w:t>that</w:t>
      </w:r>
      <w:r>
        <w:rPr>
          <w:spacing w:val="-4"/>
        </w:rPr>
        <w:t xml:space="preserve"> </w:t>
      </w:r>
      <w:r>
        <w:t>can</w:t>
      </w:r>
      <w:r>
        <w:rPr>
          <w:spacing w:val="-4"/>
        </w:rPr>
        <w:t xml:space="preserve"> </w:t>
      </w:r>
      <w:r>
        <w:t>be</w:t>
      </w:r>
      <w:r>
        <w:rPr>
          <w:spacing w:val="-4"/>
        </w:rPr>
        <w:t xml:space="preserve"> </w:t>
      </w:r>
      <w:r>
        <w:t>used</w:t>
      </w:r>
      <w:r>
        <w:rPr>
          <w:spacing w:val="-4"/>
        </w:rPr>
        <w:t xml:space="preserve"> </w:t>
      </w:r>
      <w:r>
        <w:t>to</w:t>
      </w:r>
      <w:r>
        <w:rPr>
          <w:spacing w:val="-6"/>
        </w:rPr>
        <w:t xml:space="preserve"> </w:t>
      </w:r>
      <w:r>
        <w:t>support</w:t>
      </w:r>
      <w:r>
        <w:rPr>
          <w:spacing w:val="-6"/>
        </w:rPr>
        <w:t xml:space="preserve"> </w:t>
      </w:r>
      <w:r>
        <w:t>the</w:t>
      </w:r>
      <w:r>
        <w:rPr>
          <w:spacing w:val="-4"/>
        </w:rPr>
        <w:t xml:space="preserve"> </w:t>
      </w:r>
      <w:r>
        <w:t>pupil to de-escalate and manage their behaviour.</w:t>
      </w:r>
      <w:r>
        <w:rPr>
          <w:spacing w:val="40"/>
        </w:rPr>
        <w:t xml:space="preserve"> </w:t>
      </w:r>
      <w:r>
        <w:t xml:space="preserve">A risk assessment is also </w:t>
      </w:r>
      <w:r>
        <w:rPr>
          <w:spacing w:val="-2"/>
        </w:rPr>
        <w:t>completed.</w:t>
      </w:r>
    </w:p>
    <w:p>
      <w:pPr>
        <w:pStyle w:val="BodyText"/>
        <w:spacing w:before="102"/>
        <w:ind w:left="0"/>
      </w:pPr>
    </w:p>
    <w:p>
      <w:pPr>
        <w:pStyle w:val="Heading1"/>
      </w:pPr>
      <w:r>
        <w:rPr>
          <w:spacing w:val="-2"/>
        </w:rPr>
        <w:t>Enabling students with SEND to engage in activities available to those in school who do not have SEND?</w:t>
      </w:r>
    </w:p>
    <w:p>
      <w:pPr>
        <w:pStyle w:val="BodyText"/>
        <w:spacing w:before="187"/>
      </w:pPr>
      <w:r>
        <w:t>All of our extra-curricular activities and school visits are available to all our students, including any before- and after-school clubs. All students are encouraged to go on our trips.  No student is ever excluded from taking part in these activities because of their SEND, including any disability. It is common practice for a Learning Coach or Teaching Assistant to support with trips to facilitate greater accessibility for students with significant needs .</w:t>
      </w:r>
    </w:p>
    <w:p>
      <w:pPr>
        <w:pStyle w:val="BodyText"/>
        <w:spacing w:before="187"/>
      </w:pPr>
      <w:r>
        <w:t>All</w:t>
      </w:r>
      <w:r>
        <w:rPr>
          <w:spacing w:val="-2"/>
        </w:rPr>
        <w:t xml:space="preserve"> </w:t>
      </w:r>
      <w:r>
        <w:t>pupils</w:t>
      </w:r>
      <w:r>
        <w:rPr>
          <w:spacing w:val="-3"/>
        </w:rPr>
        <w:t xml:space="preserve"> </w:t>
      </w:r>
      <w:r>
        <w:t>within</w:t>
      </w:r>
      <w:r>
        <w:rPr>
          <w:spacing w:val="-2"/>
        </w:rPr>
        <w:t xml:space="preserve"> </w:t>
      </w:r>
      <w:r>
        <w:t>EOTAS</w:t>
      </w:r>
      <w:r>
        <w:rPr>
          <w:spacing w:val="-1"/>
        </w:rPr>
        <w:t xml:space="preserve"> </w:t>
      </w:r>
      <w:r>
        <w:t>are</w:t>
      </w:r>
      <w:r>
        <w:rPr>
          <w:spacing w:val="-2"/>
        </w:rPr>
        <w:t xml:space="preserve"> </w:t>
      </w:r>
      <w:r>
        <w:t>taught</w:t>
      </w:r>
      <w:r>
        <w:rPr>
          <w:spacing w:val="-6"/>
        </w:rPr>
        <w:t xml:space="preserve"> </w:t>
      </w:r>
      <w:r>
        <w:t>in</w:t>
      </w:r>
      <w:r>
        <w:rPr>
          <w:spacing w:val="-2"/>
        </w:rPr>
        <w:t xml:space="preserve"> </w:t>
      </w:r>
      <w:r>
        <w:t>small</w:t>
      </w:r>
      <w:r>
        <w:rPr>
          <w:spacing w:val="-1"/>
        </w:rPr>
        <w:t xml:space="preserve"> </w:t>
      </w:r>
      <w:r>
        <w:t>groups,</w:t>
      </w:r>
      <w:r>
        <w:rPr>
          <w:spacing w:val="-4"/>
        </w:rPr>
        <w:t xml:space="preserve"> </w:t>
      </w:r>
      <w:r>
        <w:t>with</w:t>
      </w:r>
      <w:r>
        <w:rPr>
          <w:spacing w:val="-1"/>
        </w:rPr>
        <w:t xml:space="preserve"> </w:t>
      </w:r>
      <w:r>
        <w:t>a</w:t>
      </w:r>
      <w:r>
        <w:rPr>
          <w:spacing w:val="-2"/>
        </w:rPr>
        <w:t xml:space="preserve"> </w:t>
      </w:r>
      <w:r>
        <w:t>maximum ratio</w:t>
      </w:r>
      <w:r>
        <w:rPr>
          <w:spacing w:val="-3"/>
        </w:rPr>
        <w:t xml:space="preserve"> </w:t>
      </w:r>
      <w:r>
        <w:rPr>
          <w:spacing w:val="-5"/>
        </w:rPr>
        <w:t>of</w:t>
      </w:r>
    </w:p>
    <w:p>
      <w:pPr>
        <w:pStyle w:val="BodyText"/>
        <w:spacing w:before="22" w:line="259" w:lineRule="auto"/>
        <w:ind w:right="228"/>
      </w:pPr>
      <w:r>
        <w:t>1</w:t>
      </w:r>
      <w:r>
        <w:rPr>
          <w:spacing w:val="-4"/>
        </w:rPr>
        <w:t xml:space="preserve"> </w:t>
      </w:r>
      <w:r>
        <w:t>adult:</w:t>
      </w:r>
      <w:r>
        <w:rPr>
          <w:spacing w:val="-4"/>
        </w:rPr>
        <w:t xml:space="preserve"> </w:t>
      </w:r>
      <w:r>
        <w:t>8</w:t>
      </w:r>
      <w:r>
        <w:rPr>
          <w:spacing w:val="-4"/>
        </w:rPr>
        <w:t xml:space="preserve"> </w:t>
      </w:r>
      <w:r>
        <w:t>pupils.</w:t>
      </w:r>
      <w:r>
        <w:rPr>
          <w:spacing w:val="40"/>
        </w:rPr>
        <w:t xml:space="preserve"> </w:t>
      </w:r>
      <w:r>
        <w:t>All</w:t>
      </w:r>
      <w:r>
        <w:rPr>
          <w:spacing w:val="-3"/>
        </w:rPr>
        <w:t xml:space="preserve"> </w:t>
      </w:r>
      <w:r>
        <w:t>EOTAS</w:t>
      </w:r>
      <w:r>
        <w:rPr>
          <w:spacing w:val="-3"/>
        </w:rPr>
        <w:t xml:space="preserve"> </w:t>
      </w:r>
      <w:r>
        <w:t>staff</w:t>
      </w:r>
      <w:r>
        <w:rPr>
          <w:spacing w:val="-4"/>
        </w:rPr>
        <w:t xml:space="preserve"> </w:t>
      </w:r>
      <w:r>
        <w:t>participate</w:t>
      </w:r>
      <w:r>
        <w:rPr>
          <w:spacing w:val="-3"/>
        </w:rPr>
        <w:t xml:space="preserve"> </w:t>
      </w:r>
      <w:r>
        <w:t>in</w:t>
      </w:r>
      <w:r>
        <w:rPr>
          <w:spacing w:val="-3"/>
        </w:rPr>
        <w:t xml:space="preserve"> </w:t>
      </w:r>
      <w:r>
        <w:t>a</w:t>
      </w:r>
      <w:r>
        <w:rPr>
          <w:spacing w:val="-4"/>
        </w:rPr>
        <w:t xml:space="preserve"> </w:t>
      </w:r>
      <w:r>
        <w:t>range</w:t>
      </w:r>
      <w:r>
        <w:rPr>
          <w:spacing w:val="-3"/>
        </w:rPr>
        <w:t xml:space="preserve"> </w:t>
      </w:r>
      <w:r>
        <w:t>of</w:t>
      </w:r>
      <w:r>
        <w:rPr>
          <w:spacing w:val="-4"/>
        </w:rPr>
        <w:t xml:space="preserve"> </w:t>
      </w:r>
      <w:r>
        <w:t>SEN</w:t>
      </w:r>
      <w:r>
        <w:rPr>
          <w:spacing w:val="-3"/>
        </w:rPr>
        <w:t xml:space="preserve"> </w:t>
      </w:r>
      <w:r>
        <w:t>related training and are supported by the SEND Team and other professionals to develop their skills in relation to SEND through continuous professional development.</w:t>
      </w:r>
    </w:p>
    <w:p>
      <w:pPr>
        <w:spacing w:line="259" w:lineRule="auto"/>
        <w:sectPr>
          <w:pgSz w:w="11910" w:h="16840"/>
          <w:pgMar w:top="1840" w:right="1320" w:bottom="280" w:left="1340" w:header="708" w:footer="0" w:gutter="0"/>
          <w:cols w:space="720"/>
        </w:sectPr>
      </w:pPr>
    </w:p>
    <w:p>
      <w:pPr>
        <w:pStyle w:val="BodyText"/>
        <w:spacing w:before="1"/>
        <w:ind w:left="0"/>
        <w:rPr>
          <w:sz w:val="7"/>
        </w:rPr>
      </w:pPr>
    </w:p>
    <w:tbl>
      <w:tblPr>
        <w:tblW w:w="0" w:type="auto"/>
        <w:tblInd w:w="1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4508"/>
        <w:gridCol w:w="4511"/>
      </w:tblGrid>
      <w:tr>
        <w:trPr>
          <w:trHeight w:val="587"/>
        </w:trPr>
        <w:tc>
          <w:tcPr>
            <w:tcW w:w="9019" w:type="dxa"/>
            <w:gridSpan w:val="2"/>
            <w:shd w:val="clear" w:color="auto" w:fill="FFFF00"/>
          </w:tcPr>
          <w:p>
            <w:pPr>
              <w:pStyle w:val="TableParagraph"/>
              <w:spacing w:line="290" w:lineRule="atLeast"/>
              <w:ind w:right="724"/>
              <w:rPr>
                <w:b/>
                <w:bCs/>
                <w:sz w:val="24"/>
                <w:szCs w:val="24"/>
              </w:rPr>
            </w:pPr>
            <w:r>
              <w:rPr>
                <w:b/>
                <w:bCs/>
                <w:sz w:val="24"/>
                <w:szCs w:val="24"/>
              </w:rPr>
              <w:t>Some</w:t>
            </w:r>
            <w:r>
              <w:rPr>
                <w:b/>
                <w:bCs/>
                <w:spacing w:val="-4"/>
                <w:sz w:val="24"/>
                <w:szCs w:val="24"/>
              </w:rPr>
              <w:t xml:space="preserve"> </w:t>
            </w:r>
            <w:r>
              <w:rPr>
                <w:b/>
                <w:bCs/>
                <w:sz w:val="24"/>
                <w:szCs w:val="24"/>
              </w:rPr>
              <w:t>of</w:t>
            </w:r>
            <w:r>
              <w:rPr>
                <w:b/>
                <w:bCs/>
                <w:spacing w:val="-4"/>
                <w:sz w:val="24"/>
                <w:szCs w:val="24"/>
              </w:rPr>
              <w:t xml:space="preserve"> </w:t>
            </w:r>
            <w:r>
              <w:rPr>
                <w:b/>
                <w:bCs/>
                <w:sz w:val="24"/>
                <w:szCs w:val="24"/>
              </w:rPr>
              <w:t>the</w:t>
            </w:r>
            <w:r>
              <w:rPr>
                <w:b/>
                <w:bCs/>
                <w:spacing w:val="-4"/>
                <w:sz w:val="24"/>
                <w:szCs w:val="24"/>
              </w:rPr>
              <w:t xml:space="preserve"> </w:t>
            </w:r>
            <w:r>
              <w:rPr>
                <w:b/>
                <w:bCs/>
                <w:sz w:val="24"/>
                <w:szCs w:val="24"/>
              </w:rPr>
              <w:t>CPD</w:t>
            </w:r>
            <w:r>
              <w:rPr>
                <w:b/>
                <w:bCs/>
                <w:spacing w:val="-4"/>
                <w:sz w:val="24"/>
                <w:szCs w:val="24"/>
              </w:rPr>
              <w:t xml:space="preserve"> </w:t>
            </w:r>
            <w:r>
              <w:rPr>
                <w:b/>
                <w:bCs/>
                <w:sz w:val="24"/>
                <w:szCs w:val="24"/>
              </w:rPr>
              <w:t>undertaken</w:t>
            </w:r>
            <w:r>
              <w:rPr>
                <w:b/>
                <w:bCs/>
                <w:spacing w:val="-4"/>
                <w:sz w:val="24"/>
                <w:szCs w:val="24"/>
              </w:rPr>
              <w:t xml:space="preserve"> </w:t>
            </w:r>
            <w:r>
              <w:rPr>
                <w:b/>
                <w:bCs/>
                <w:sz w:val="24"/>
                <w:szCs w:val="24"/>
              </w:rPr>
              <w:t>by</w:t>
            </w:r>
            <w:r>
              <w:rPr>
                <w:b/>
                <w:bCs/>
                <w:spacing w:val="-4"/>
                <w:sz w:val="24"/>
                <w:szCs w:val="24"/>
              </w:rPr>
              <w:t xml:space="preserve"> </w:t>
            </w:r>
            <w:r>
              <w:rPr>
                <w:b/>
                <w:bCs/>
                <w:sz w:val="24"/>
                <w:szCs w:val="24"/>
              </w:rPr>
              <w:t>EOTAS</w:t>
            </w:r>
            <w:r>
              <w:rPr>
                <w:b/>
                <w:bCs/>
                <w:spacing w:val="-4"/>
                <w:sz w:val="24"/>
                <w:szCs w:val="24"/>
              </w:rPr>
              <w:t xml:space="preserve"> </w:t>
            </w:r>
            <w:r>
              <w:rPr>
                <w:b/>
                <w:bCs/>
                <w:sz w:val="24"/>
                <w:szCs w:val="24"/>
              </w:rPr>
              <w:t>staff</w:t>
            </w:r>
            <w:r>
              <w:rPr>
                <w:b/>
                <w:bCs/>
                <w:spacing w:val="-4"/>
                <w:sz w:val="24"/>
                <w:szCs w:val="24"/>
              </w:rPr>
              <w:t xml:space="preserve"> </w:t>
            </w:r>
            <w:r>
              <w:rPr>
                <w:b/>
                <w:bCs/>
                <w:sz w:val="24"/>
                <w:szCs w:val="24"/>
              </w:rPr>
              <w:t>during</w:t>
            </w:r>
            <w:r>
              <w:rPr>
                <w:b/>
                <w:bCs/>
                <w:spacing w:val="-4"/>
                <w:sz w:val="24"/>
                <w:szCs w:val="24"/>
              </w:rPr>
              <w:t xml:space="preserve"> </w:t>
            </w:r>
            <w:r>
              <w:rPr>
                <w:b/>
                <w:bCs/>
                <w:sz w:val="24"/>
                <w:szCs w:val="24"/>
              </w:rPr>
              <w:t>the</w:t>
            </w:r>
            <w:r>
              <w:rPr>
                <w:b/>
                <w:bCs/>
                <w:spacing w:val="-4"/>
                <w:sz w:val="24"/>
                <w:szCs w:val="24"/>
              </w:rPr>
              <w:t xml:space="preserve"> </w:t>
            </w:r>
            <w:r>
              <w:rPr>
                <w:b/>
                <w:bCs/>
                <w:sz w:val="24"/>
                <w:szCs w:val="24"/>
              </w:rPr>
              <w:t>academic</w:t>
            </w:r>
            <w:r>
              <w:rPr>
                <w:b/>
                <w:bCs/>
                <w:spacing w:val="-4"/>
                <w:sz w:val="24"/>
                <w:szCs w:val="24"/>
              </w:rPr>
              <w:t xml:space="preserve"> </w:t>
            </w:r>
            <w:r>
              <w:rPr>
                <w:b/>
                <w:bCs/>
                <w:sz w:val="24"/>
                <w:szCs w:val="24"/>
              </w:rPr>
              <w:t xml:space="preserve">year </w:t>
            </w:r>
            <w:r>
              <w:rPr>
                <w:b/>
                <w:bCs/>
                <w:spacing w:val="-2"/>
                <w:sz w:val="24"/>
                <w:szCs w:val="24"/>
              </w:rPr>
              <w:t>2023-2024</w:t>
            </w:r>
          </w:p>
        </w:tc>
      </w:tr>
      <w:tr>
        <w:trPr>
          <w:trHeight w:val="293"/>
        </w:trPr>
        <w:tc>
          <w:tcPr>
            <w:tcW w:w="4508" w:type="dxa"/>
            <w:shd w:val="clear" w:color="auto" w:fill="FFFF00"/>
          </w:tcPr>
          <w:p>
            <w:pPr>
              <w:pStyle w:val="TableParagraph"/>
              <w:spacing w:before="4" w:line="269" w:lineRule="exact"/>
              <w:rPr>
                <w:b/>
                <w:sz w:val="24"/>
              </w:rPr>
            </w:pPr>
            <w:r>
              <w:rPr>
                <w:b/>
                <w:spacing w:val="-2"/>
                <w:sz w:val="24"/>
              </w:rPr>
              <w:t>TOPIC</w:t>
            </w:r>
          </w:p>
        </w:tc>
        <w:tc>
          <w:tcPr>
            <w:tcW w:w="4511" w:type="dxa"/>
            <w:shd w:val="clear" w:color="auto" w:fill="FFFF00"/>
          </w:tcPr>
          <w:p>
            <w:pPr>
              <w:pStyle w:val="TableParagraph"/>
              <w:ind w:left="0"/>
              <w:rPr>
                <w:rFonts w:ascii="Times New Roman"/>
              </w:rPr>
            </w:pPr>
          </w:p>
        </w:tc>
      </w:tr>
      <w:tr>
        <w:trPr>
          <w:trHeight w:val="292"/>
        </w:trPr>
        <w:tc>
          <w:tcPr>
            <w:tcW w:w="4508" w:type="dxa"/>
            <w:shd w:val="clear" w:color="auto" w:fill="FFFF00"/>
          </w:tcPr>
          <w:p>
            <w:pPr>
              <w:pStyle w:val="TableParagraph"/>
              <w:spacing w:before="3" w:line="269" w:lineRule="exact"/>
              <w:rPr>
                <w:sz w:val="24"/>
              </w:rPr>
            </w:pPr>
            <w:r>
              <w:rPr>
                <w:sz w:val="24"/>
              </w:rPr>
              <w:t>Trauma</w:t>
            </w:r>
            <w:r>
              <w:rPr>
                <w:spacing w:val="-3"/>
                <w:sz w:val="24"/>
              </w:rPr>
              <w:t xml:space="preserve"> </w:t>
            </w:r>
            <w:r>
              <w:rPr>
                <w:sz w:val="24"/>
              </w:rPr>
              <w:t>informed</w:t>
            </w:r>
            <w:r>
              <w:rPr>
                <w:spacing w:val="-1"/>
                <w:sz w:val="24"/>
              </w:rPr>
              <w:t xml:space="preserve"> </w:t>
            </w:r>
            <w:r>
              <w:rPr>
                <w:spacing w:val="-2"/>
                <w:sz w:val="24"/>
              </w:rPr>
              <w:t>training</w:t>
            </w:r>
          </w:p>
        </w:tc>
        <w:tc>
          <w:tcPr>
            <w:tcW w:w="4511" w:type="dxa"/>
            <w:shd w:val="clear" w:color="auto" w:fill="FFFF00"/>
          </w:tcPr>
          <w:p>
            <w:pPr>
              <w:pStyle w:val="TableParagraph"/>
              <w:spacing w:before="3" w:line="269" w:lineRule="exact"/>
              <w:rPr>
                <w:sz w:val="24"/>
              </w:rPr>
            </w:pPr>
            <w:r>
              <w:rPr>
                <w:spacing w:val="-2"/>
                <w:sz w:val="24"/>
              </w:rPr>
              <w:t>Ongoing</w:t>
            </w:r>
          </w:p>
        </w:tc>
      </w:tr>
      <w:tr>
        <w:trPr>
          <w:trHeight w:val="294"/>
        </w:trPr>
        <w:tc>
          <w:tcPr>
            <w:tcW w:w="4508" w:type="dxa"/>
            <w:shd w:val="clear" w:color="auto" w:fill="FFFF00"/>
          </w:tcPr>
          <w:p>
            <w:pPr>
              <w:pStyle w:val="TableParagraph"/>
              <w:spacing w:before="5" w:line="269" w:lineRule="exact"/>
              <w:rPr>
                <w:sz w:val="24"/>
              </w:rPr>
            </w:pPr>
            <w:r>
              <w:rPr>
                <w:sz w:val="24"/>
              </w:rPr>
              <w:t>Prevent</w:t>
            </w:r>
            <w:r>
              <w:rPr>
                <w:spacing w:val="-7"/>
                <w:sz w:val="24"/>
              </w:rPr>
              <w:t xml:space="preserve"> </w:t>
            </w:r>
            <w:r>
              <w:rPr>
                <w:spacing w:val="-2"/>
                <w:sz w:val="24"/>
              </w:rPr>
              <w:t>training</w:t>
            </w:r>
          </w:p>
        </w:tc>
        <w:tc>
          <w:tcPr>
            <w:tcW w:w="4511" w:type="dxa"/>
            <w:shd w:val="clear" w:color="auto" w:fill="FFFF00"/>
          </w:tcPr>
          <w:p>
            <w:pPr>
              <w:pStyle w:val="TableParagraph"/>
              <w:spacing w:before="5" w:line="269" w:lineRule="exact"/>
              <w:rPr>
                <w:sz w:val="24"/>
              </w:rPr>
            </w:pPr>
            <w:r>
              <w:rPr>
                <w:spacing w:val="-2"/>
                <w:sz w:val="24"/>
              </w:rPr>
              <w:t>Ongoing</w:t>
            </w:r>
          </w:p>
        </w:tc>
      </w:tr>
      <w:tr>
        <w:trPr>
          <w:trHeight w:val="590"/>
        </w:trPr>
        <w:tc>
          <w:tcPr>
            <w:tcW w:w="4508" w:type="dxa"/>
            <w:shd w:val="clear" w:color="auto" w:fill="FFFF00"/>
          </w:tcPr>
          <w:p>
            <w:pPr>
              <w:pStyle w:val="TableParagraph"/>
              <w:spacing w:line="290" w:lineRule="atLeast"/>
              <w:ind w:right="171"/>
              <w:rPr>
                <w:sz w:val="24"/>
              </w:rPr>
            </w:pPr>
            <w:r>
              <w:rPr>
                <w:sz w:val="24"/>
              </w:rPr>
              <w:t>Pupil</w:t>
            </w:r>
            <w:r>
              <w:rPr>
                <w:spacing w:val="-8"/>
                <w:sz w:val="24"/>
              </w:rPr>
              <w:t xml:space="preserve"> </w:t>
            </w:r>
            <w:r>
              <w:rPr>
                <w:sz w:val="24"/>
              </w:rPr>
              <w:t>Passports</w:t>
            </w:r>
            <w:r>
              <w:rPr>
                <w:spacing w:val="-12"/>
                <w:sz w:val="24"/>
              </w:rPr>
              <w:t xml:space="preserve"> </w:t>
            </w:r>
            <w:r>
              <w:rPr>
                <w:sz w:val="24"/>
              </w:rPr>
              <w:t>and</w:t>
            </w:r>
            <w:r>
              <w:rPr>
                <w:spacing w:val="-12"/>
                <w:sz w:val="24"/>
              </w:rPr>
              <w:t xml:space="preserve"> </w:t>
            </w:r>
            <w:r>
              <w:rPr>
                <w:sz w:val="24"/>
              </w:rPr>
              <w:t>Risk</w:t>
            </w:r>
            <w:r>
              <w:rPr>
                <w:spacing w:val="-12"/>
                <w:sz w:val="24"/>
              </w:rPr>
              <w:t xml:space="preserve"> </w:t>
            </w:r>
            <w:r>
              <w:rPr>
                <w:sz w:val="24"/>
              </w:rPr>
              <w:t>Assessments – how to write and implement</w:t>
            </w:r>
          </w:p>
        </w:tc>
        <w:tc>
          <w:tcPr>
            <w:tcW w:w="4511" w:type="dxa"/>
            <w:shd w:val="clear" w:color="auto" w:fill="FFFF00"/>
          </w:tcPr>
          <w:p>
            <w:pPr>
              <w:pStyle w:val="TableParagraph"/>
              <w:spacing w:before="5"/>
              <w:rPr>
                <w:sz w:val="24"/>
              </w:rPr>
            </w:pPr>
            <w:r>
              <w:rPr>
                <w:spacing w:val="-2"/>
                <w:sz w:val="24"/>
              </w:rPr>
              <w:t>Ongoing</w:t>
            </w:r>
          </w:p>
        </w:tc>
      </w:tr>
      <w:tr>
        <w:trPr>
          <w:trHeight w:val="292"/>
        </w:trPr>
        <w:tc>
          <w:tcPr>
            <w:tcW w:w="4508" w:type="dxa"/>
            <w:shd w:val="clear" w:color="auto" w:fill="FFFF00"/>
          </w:tcPr>
          <w:p>
            <w:pPr>
              <w:pStyle w:val="TableParagraph"/>
              <w:spacing w:before="3" w:line="269" w:lineRule="exact"/>
              <w:rPr>
                <w:sz w:val="24"/>
              </w:rPr>
            </w:pPr>
            <w:r>
              <w:rPr>
                <w:sz w:val="24"/>
              </w:rPr>
              <w:t xml:space="preserve">Mental </w:t>
            </w:r>
            <w:r>
              <w:rPr>
                <w:spacing w:val="-2"/>
                <w:sz w:val="24"/>
              </w:rPr>
              <w:t>Health</w:t>
            </w:r>
          </w:p>
        </w:tc>
        <w:tc>
          <w:tcPr>
            <w:tcW w:w="4511" w:type="dxa"/>
            <w:shd w:val="clear" w:color="auto" w:fill="FFFF00"/>
          </w:tcPr>
          <w:p>
            <w:pPr>
              <w:pStyle w:val="TableParagraph"/>
              <w:spacing w:before="3" w:line="269" w:lineRule="exact"/>
              <w:rPr>
                <w:sz w:val="24"/>
              </w:rPr>
            </w:pPr>
            <w:r>
              <w:rPr>
                <w:spacing w:val="-2"/>
                <w:sz w:val="24"/>
              </w:rPr>
              <w:t>Ongoing</w:t>
            </w:r>
          </w:p>
        </w:tc>
      </w:tr>
      <w:tr>
        <w:trPr>
          <w:trHeight w:val="882"/>
        </w:trPr>
        <w:tc>
          <w:tcPr>
            <w:tcW w:w="4508" w:type="dxa"/>
            <w:shd w:val="clear" w:color="auto" w:fill="FFFF00"/>
          </w:tcPr>
          <w:p>
            <w:pPr>
              <w:pStyle w:val="TableParagraph"/>
              <w:spacing w:before="5"/>
              <w:ind w:right="1639"/>
              <w:rPr>
                <w:sz w:val="24"/>
              </w:rPr>
            </w:pPr>
            <w:r>
              <w:rPr>
                <w:sz w:val="24"/>
              </w:rPr>
              <w:t>Differentiation</w:t>
            </w:r>
            <w:r>
              <w:rPr>
                <w:spacing w:val="-17"/>
                <w:sz w:val="24"/>
              </w:rPr>
              <w:t xml:space="preserve"> </w:t>
            </w:r>
            <w:r>
              <w:rPr>
                <w:sz w:val="24"/>
              </w:rPr>
              <w:t>Directory Class Context Sheets</w:t>
            </w:r>
          </w:p>
          <w:p>
            <w:pPr>
              <w:pStyle w:val="TableParagraph"/>
              <w:spacing w:line="269" w:lineRule="exact"/>
              <w:rPr>
                <w:sz w:val="24"/>
              </w:rPr>
            </w:pPr>
            <w:r>
              <w:rPr>
                <w:sz w:val="24"/>
              </w:rPr>
              <w:t>Matrix</w:t>
            </w:r>
            <w:r>
              <w:rPr>
                <w:spacing w:val="-4"/>
                <w:sz w:val="24"/>
              </w:rPr>
              <w:t xml:space="preserve"> </w:t>
            </w:r>
            <w:r>
              <w:rPr>
                <w:sz w:val="24"/>
              </w:rPr>
              <w:t>–</w:t>
            </w:r>
            <w:r>
              <w:rPr>
                <w:spacing w:val="-4"/>
                <w:sz w:val="24"/>
              </w:rPr>
              <w:t xml:space="preserve"> </w:t>
            </w:r>
            <w:r>
              <w:rPr>
                <w:sz w:val="24"/>
              </w:rPr>
              <w:t>Horsforth</w:t>
            </w:r>
            <w:r>
              <w:rPr>
                <w:spacing w:val="-3"/>
                <w:sz w:val="24"/>
              </w:rPr>
              <w:t xml:space="preserve"> </w:t>
            </w:r>
            <w:r>
              <w:rPr>
                <w:spacing w:val="-2"/>
                <w:sz w:val="24"/>
              </w:rPr>
              <w:t>Quadrant</w:t>
            </w:r>
          </w:p>
        </w:tc>
        <w:tc>
          <w:tcPr>
            <w:tcW w:w="4511" w:type="dxa"/>
            <w:shd w:val="clear" w:color="auto" w:fill="FFFF00"/>
          </w:tcPr>
          <w:p>
            <w:pPr>
              <w:pStyle w:val="TableParagraph"/>
              <w:spacing w:before="5"/>
              <w:rPr>
                <w:sz w:val="24"/>
              </w:rPr>
            </w:pPr>
            <w:r>
              <w:rPr>
                <w:spacing w:val="-2"/>
                <w:sz w:val="24"/>
              </w:rPr>
              <w:t>Ongoing</w:t>
            </w:r>
          </w:p>
        </w:tc>
      </w:tr>
      <w:tr>
        <w:trPr>
          <w:trHeight w:val="294"/>
        </w:trPr>
        <w:tc>
          <w:tcPr>
            <w:tcW w:w="4508" w:type="dxa"/>
            <w:shd w:val="clear" w:color="auto" w:fill="FFFF00"/>
          </w:tcPr>
          <w:p>
            <w:pPr>
              <w:pStyle w:val="TableParagraph"/>
              <w:spacing w:before="5" w:line="269" w:lineRule="exact"/>
              <w:rPr>
                <w:sz w:val="24"/>
              </w:rPr>
            </w:pPr>
            <w:r>
              <w:rPr>
                <w:sz w:val="24"/>
              </w:rPr>
              <w:t>Multi-element</w:t>
            </w:r>
            <w:r>
              <w:rPr>
                <w:spacing w:val="-7"/>
                <w:sz w:val="24"/>
              </w:rPr>
              <w:t xml:space="preserve"> </w:t>
            </w:r>
            <w:r>
              <w:rPr>
                <w:spacing w:val="-4"/>
                <w:sz w:val="24"/>
              </w:rPr>
              <w:t>Plans</w:t>
            </w:r>
          </w:p>
        </w:tc>
        <w:tc>
          <w:tcPr>
            <w:tcW w:w="4511" w:type="dxa"/>
            <w:shd w:val="clear" w:color="auto" w:fill="FFFF00"/>
          </w:tcPr>
          <w:p>
            <w:pPr>
              <w:pStyle w:val="TableParagraph"/>
              <w:spacing w:before="5" w:line="269" w:lineRule="exact"/>
              <w:rPr>
                <w:sz w:val="24"/>
              </w:rPr>
            </w:pPr>
            <w:r>
              <w:rPr>
                <w:spacing w:val="-2"/>
                <w:sz w:val="24"/>
              </w:rPr>
              <w:t>Ongoing</w:t>
            </w:r>
          </w:p>
        </w:tc>
      </w:tr>
      <w:tr>
        <w:trPr>
          <w:trHeight w:val="883"/>
        </w:trPr>
        <w:tc>
          <w:tcPr>
            <w:tcW w:w="4508" w:type="dxa"/>
            <w:shd w:val="clear" w:color="auto" w:fill="FFFF00"/>
          </w:tcPr>
          <w:p>
            <w:pPr>
              <w:pStyle w:val="TableParagraph"/>
              <w:spacing w:line="269" w:lineRule="exact"/>
              <w:rPr>
                <w:sz w:val="24"/>
                <w:szCs w:val="24"/>
              </w:rPr>
            </w:pPr>
            <w:r>
              <w:rPr>
                <w:spacing w:val="-2"/>
                <w:sz w:val="24"/>
                <w:szCs w:val="24"/>
              </w:rPr>
              <w:t>Intake assessment including Speech and Language Progression Tool</w:t>
            </w:r>
          </w:p>
        </w:tc>
        <w:tc>
          <w:tcPr>
            <w:tcW w:w="4511" w:type="dxa"/>
            <w:shd w:val="clear" w:color="auto" w:fill="FFFF00"/>
          </w:tcPr>
          <w:p>
            <w:pPr>
              <w:pStyle w:val="TableParagraph"/>
              <w:spacing w:before="6"/>
              <w:rPr>
                <w:sz w:val="24"/>
              </w:rPr>
            </w:pPr>
            <w:r>
              <w:rPr>
                <w:spacing w:val="-2"/>
                <w:sz w:val="24"/>
              </w:rPr>
              <w:t>Ongoing</w:t>
            </w:r>
          </w:p>
        </w:tc>
      </w:tr>
      <w:tr>
        <w:trPr>
          <w:trHeight w:val="883"/>
        </w:trPr>
        <w:tc>
          <w:tcPr>
            <w:tcW w:w="4508" w:type="dxa"/>
            <w:shd w:val="clear" w:color="auto" w:fill="FFFF00"/>
          </w:tcPr>
          <w:p>
            <w:pPr>
              <w:pStyle w:val="TableParagraph"/>
              <w:rPr>
                <w:sz w:val="24"/>
                <w:szCs w:val="24"/>
              </w:rPr>
            </w:pPr>
            <w:r>
              <w:rPr>
                <w:sz w:val="24"/>
                <w:szCs w:val="24"/>
              </w:rPr>
              <w:t xml:space="preserve">Speech and Language - </w:t>
            </w:r>
          </w:p>
          <w:p>
            <w:pPr>
              <w:pStyle w:val="TableParagraph"/>
              <w:rPr>
                <w:sz w:val="24"/>
                <w:szCs w:val="24"/>
              </w:rPr>
            </w:pPr>
            <w:r>
              <w:rPr>
                <w:sz w:val="24"/>
                <w:szCs w:val="24"/>
              </w:rPr>
              <w:t>Language for Behavior and Emotions</w:t>
            </w:r>
          </w:p>
        </w:tc>
        <w:tc>
          <w:tcPr>
            <w:tcW w:w="4511" w:type="dxa"/>
            <w:shd w:val="clear" w:color="auto" w:fill="FFFF00"/>
          </w:tcPr>
          <w:p>
            <w:pPr>
              <w:pStyle w:val="TableParagraph"/>
              <w:rPr>
                <w:sz w:val="24"/>
                <w:szCs w:val="24"/>
              </w:rPr>
            </w:pPr>
          </w:p>
        </w:tc>
      </w:tr>
      <w:tr>
        <w:trPr>
          <w:trHeight w:val="883"/>
        </w:trPr>
        <w:tc>
          <w:tcPr>
            <w:tcW w:w="4508" w:type="dxa"/>
            <w:shd w:val="clear" w:color="auto" w:fill="FFFF00"/>
          </w:tcPr>
          <w:p>
            <w:pPr>
              <w:pStyle w:val="TableParagraph"/>
              <w:rPr>
                <w:sz w:val="24"/>
                <w:szCs w:val="24"/>
              </w:rPr>
            </w:pPr>
            <w:r>
              <w:rPr>
                <w:sz w:val="24"/>
                <w:szCs w:val="24"/>
              </w:rPr>
              <w:t>Quality first Teaching  - using elements of Teach like a Pro</w:t>
            </w:r>
          </w:p>
        </w:tc>
        <w:tc>
          <w:tcPr>
            <w:tcW w:w="4511" w:type="dxa"/>
            <w:shd w:val="clear" w:color="auto" w:fill="FFFF00"/>
          </w:tcPr>
          <w:p>
            <w:pPr>
              <w:pStyle w:val="TableParagraph"/>
              <w:rPr>
                <w:sz w:val="24"/>
                <w:szCs w:val="24"/>
              </w:rPr>
            </w:pPr>
          </w:p>
        </w:tc>
      </w:tr>
      <w:tr>
        <w:trPr>
          <w:trHeight w:val="883"/>
        </w:trPr>
        <w:tc>
          <w:tcPr>
            <w:tcW w:w="4508" w:type="dxa"/>
            <w:shd w:val="clear" w:color="auto" w:fill="FFFF00"/>
          </w:tcPr>
          <w:p>
            <w:pPr>
              <w:pStyle w:val="TableParagraph"/>
              <w:rPr>
                <w:sz w:val="24"/>
                <w:szCs w:val="24"/>
              </w:rPr>
            </w:pPr>
            <w:r>
              <w:rPr>
                <w:sz w:val="24"/>
                <w:szCs w:val="24"/>
              </w:rPr>
              <w:t xml:space="preserve">Social, Emotional Mental Health - </w:t>
            </w:r>
          </w:p>
          <w:p>
            <w:pPr>
              <w:pStyle w:val="TableParagraph"/>
              <w:rPr>
                <w:sz w:val="24"/>
                <w:szCs w:val="24"/>
              </w:rPr>
            </w:pPr>
            <w:r>
              <w:rPr>
                <w:sz w:val="24"/>
                <w:szCs w:val="24"/>
              </w:rPr>
              <w:t>DNV-A</w:t>
            </w:r>
          </w:p>
        </w:tc>
        <w:tc>
          <w:tcPr>
            <w:tcW w:w="4511" w:type="dxa"/>
            <w:shd w:val="clear" w:color="auto" w:fill="FFFF00"/>
          </w:tcPr>
          <w:p>
            <w:pPr>
              <w:pStyle w:val="TableParagraph"/>
              <w:rPr>
                <w:sz w:val="24"/>
                <w:szCs w:val="24"/>
              </w:rPr>
            </w:pPr>
          </w:p>
        </w:tc>
      </w:tr>
    </w:tbl>
    <w:p>
      <w:pPr>
        <w:pStyle w:val="BodyText"/>
        <w:spacing w:before="191"/>
        <w:ind w:left="0"/>
      </w:pPr>
    </w:p>
    <w:p>
      <w:pPr>
        <w:pStyle w:val="BodyText"/>
        <w:spacing w:line="259" w:lineRule="auto"/>
        <w:ind w:right="143"/>
      </w:pPr>
      <w:r>
        <w:t>Universal</w:t>
      </w:r>
      <w:r>
        <w:rPr>
          <w:spacing w:val="-1"/>
        </w:rPr>
        <w:t xml:space="preserve"> </w:t>
      </w:r>
      <w:r>
        <w:t>Provision</w:t>
      </w:r>
      <w:r>
        <w:rPr>
          <w:spacing w:val="-4"/>
        </w:rPr>
        <w:t xml:space="preserve"> </w:t>
      </w:r>
      <w:r>
        <w:t>for</w:t>
      </w:r>
      <w:r>
        <w:rPr>
          <w:spacing w:val="-3"/>
        </w:rPr>
        <w:t xml:space="preserve"> </w:t>
      </w:r>
      <w:r>
        <w:t>all</w:t>
      </w:r>
      <w:r>
        <w:rPr>
          <w:spacing w:val="-3"/>
        </w:rPr>
        <w:t xml:space="preserve"> </w:t>
      </w:r>
      <w:r>
        <w:t>pupils</w:t>
      </w:r>
      <w:r>
        <w:rPr>
          <w:spacing w:val="-4"/>
        </w:rPr>
        <w:t xml:space="preserve"> </w:t>
      </w:r>
      <w:r>
        <w:t>includes</w:t>
      </w:r>
      <w:r>
        <w:rPr>
          <w:spacing w:val="-4"/>
        </w:rPr>
        <w:t xml:space="preserve"> </w:t>
      </w:r>
      <w:r>
        <w:t>the</w:t>
      </w:r>
      <w:r>
        <w:rPr>
          <w:spacing w:val="-5"/>
        </w:rPr>
        <w:t xml:space="preserve"> </w:t>
      </w:r>
      <w:r>
        <w:t>use</w:t>
      </w:r>
      <w:r>
        <w:rPr>
          <w:spacing w:val="-4"/>
        </w:rPr>
        <w:t xml:space="preserve"> </w:t>
      </w:r>
      <w:r>
        <w:t>of</w:t>
      </w:r>
      <w:r>
        <w:rPr>
          <w:spacing w:val="-5"/>
        </w:rPr>
        <w:t xml:space="preserve"> </w:t>
      </w:r>
      <w:r>
        <w:t>evidence-based</w:t>
      </w:r>
      <w:r>
        <w:rPr>
          <w:spacing w:val="-4"/>
        </w:rPr>
        <w:t xml:space="preserve"> </w:t>
      </w:r>
      <w:r>
        <w:t>good practice strategies and approaches.</w:t>
      </w:r>
      <w:r>
        <w:rPr>
          <w:spacing w:val="40"/>
        </w:rPr>
        <w:t xml:space="preserve"> </w:t>
      </w:r>
      <w:r>
        <w:t>Staff refer to the Swindon Core Standards for SEND.</w:t>
      </w:r>
    </w:p>
    <w:p>
      <w:pPr>
        <w:pStyle w:val="BodyText"/>
        <w:spacing w:before="160" w:line="259" w:lineRule="auto"/>
        <w:ind w:right="202"/>
      </w:pPr>
      <w:r>
        <w:t>The EOTAS Teaching and Learning Framework includes the expectation that planning will take account of different learners and that teaching will be adapted to pupils’ needs.</w:t>
      </w:r>
      <w:r>
        <w:rPr>
          <w:spacing w:val="40"/>
        </w:rPr>
        <w:t xml:space="preserve"> </w:t>
      </w:r>
      <w:r>
        <w:t>A Directory of Differentiation is used by all teachers</w:t>
      </w:r>
      <w:r>
        <w:rPr>
          <w:spacing w:val="-3"/>
        </w:rPr>
        <w:t xml:space="preserve"> </w:t>
      </w:r>
      <w:r>
        <w:t>when</w:t>
      </w:r>
      <w:r>
        <w:rPr>
          <w:spacing w:val="-3"/>
        </w:rPr>
        <w:t xml:space="preserve"> </w:t>
      </w:r>
      <w:r>
        <w:t>planning,</w:t>
      </w:r>
      <w:r>
        <w:rPr>
          <w:spacing w:val="-3"/>
        </w:rPr>
        <w:t xml:space="preserve"> </w:t>
      </w:r>
      <w:r>
        <w:t>to</w:t>
      </w:r>
      <w:r>
        <w:rPr>
          <w:spacing w:val="-5"/>
        </w:rPr>
        <w:t xml:space="preserve"> </w:t>
      </w:r>
      <w:r>
        <w:t>support</w:t>
      </w:r>
      <w:r>
        <w:rPr>
          <w:spacing w:val="-3"/>
        </w:rPr>
        <w:t xml:space="preserve"> </w:t>
      </w:r>
      <w:r>
        <w:t>them</w:t>
      </w:r>
      <w:r>
        <w:rPr>
          <w:spacing w:val="-2"/>
        </w:rPr>
        <w:t xml:space="preserve"> </w:t>
      </w:r>
      <w:r>
        <w:t>to</w:t>
      </w:r>
      <w:r>
        <w:rPr>
          <w:spacing w:val="-5"/>
        </w:rPr>
        <w:t xml:space="preserve"> </w:t>
      </w:r>
      <w:r>
        <w:t>ensure</w:t>
      </w:r>
      <w:r>
        <w:rPr>
          <w:spacing w:val="-1"/>
        </w:rPr>
        <w:t xml:space="preserve"> </w:t>
      </w:r>
      <w:r>
        <w:t>that</w:t>
      </w:r>
      <w:r>
        <w:rPr>
          <w:spacing w:val="-3"/>
        </w:rPr>
        <w:t xml:space="preserve"> </w:t>
      </w:r>
      <w:r>
        <w:t>they</w:t>
      </w:r>
      <w:r>
        <w:rPr>
          <w:spacing w:val="-5"/>
        </w:rPr>
        <w:t xml:space="preserve"> </w:t>
      </w:r>
      <w:r>
        <w:t>are</w:t>
      </w:r>
      <w:r>
        <w:rPr>
          <w:spacing w:val="-3"/>
        </w:rPr>
        <w:t xml:space="preserve"> </w:t>
      </w:r>
      <w:r>
        <w:t>planning</w:t>
      </w:r>
      <w:r>
        <w:rPr>
          <w:spacing w:val="-3"/>
        </w:rPr>
        <w:t xml:space="preserve"> </w:t>
      </w:r>
      <w:r>
        <w:t>to meet the needs of all learners.</w:t>
      </w:r>
      <w:r>
        <w:rPr>
          <w:spacing w:val="40"/>
        </w:rPr>
        <w:t xml:space="preserve"> </w:t>
      </w:r>
      <w:r>
        <w:t>The Directory of Differentiation includes a variety of different ways in which learning tasks can be adapted or scaffolded to make them accessible for learners with different needs.</w:t>
      </w:r>
    </w:p>
    <w:p>
      <w:pPr>
        <w:pStyle w:val="BodyText"/>
        <w:spacing w:before="159" w:line="259" w:lineRule="auto"/>
        <w:ind w:right="143"/>
      </w:pPr>
      <w:r>
        <w:t>Teachers</w:t>
      </w:r>
      <w:r>
        <w:rPr>
          <w:spacing w:val="-3"/>
        </w:rPr>
        <w:t xml:space="preserve"> </w:t>
      </w:r>
      <w:r>
        <w:t>complete</w:t>
      </w:r>
      <w:r>
        <w:rPr>
          <w:spacing w:val="-1"/>
        </w:rPr>
        <w:t xml:space="preserve"> </w:t>
      </w:r>
      <w:r>
        <w:t>a</w:t>
      </w:r>
      <w:r>
        <w:rPr>
          <w:spacing w:val="-4"/>
        </w:rPr>
        <w:t xml:space="preserve"> </w:t>
      </w:r>
      <w:r>
        <w:t>Class</w:t>
      </w:r>
      <w:r>
        <w:rPr>
          <w:spacing w:val="-3"/>
        </w:rPr>
        <w:t xml:space="preserve"> </w:t>
      </w:r>
      <w:r>
        <w:t>Context</w:t>
      </w:r>
      <w:r>
        <w:rPr>
          <w:spacing w:val="-8"/>
        </w:rPr>
        <w:t xml:space="preserve"> </w:t>
      </w:r>
      <w:r>
        <w:t>Sheet</w:t>
      </w:r>
      <w:r>
        <w:rPr>
          <w:spacing w:val="-8"/>
        </w:rPr>
        <w:t xml:space="preserve"> </w:t>
      </w:r>
      <w:r>
        <w:t>for</w:t>
      </w:r>
      <w:r>
        <w:rPr>
          <w:spacing w:val="-3"/>
        </w:rPr>
        <w:t xml:space="preserve"> </w:t>
      </w:r>
      <w:r>
        <w:t>each</w:t>
      </w:r>
      <w:r>
        <w:rPr>
          <w:spacing w:val="-2"/>
        </w:rPr>
        <w:t xml:space="preserve"> </w:t>
      </w:r>
      <w:r>
        <w:t>class</w:t>
      </w:r>
      <w:r>
        <w:rPr>
          <w:spacing w:val="-5"/>
        </w:rPr>
        <w:t xml:space="preserve"> </w:t>
      </w:r>
      <w:r>
        <w:t>that they</w:t>
      </w:r>
      <w:r>
        <w:rPr>
          <w:spacing w:val="-2"/>
        </w:rPr>
        <w:t xml:space="preserve"> </w:t>
      </w:r>
      <w:r>
        <w:t>teach.</w:t>
      </w:r>
      <w:r>
        <w:rPr>
          <w:spacing w:val="40"/>
        </w:rPr>
        <w:t xml:space="preserve"> </w:t>
      </w:r>
      <w:r>
        <w:t>This includes a seating plan, information about pupils’ attainment and reading ages, any SEND needs and barriers to learning and readiness to learn using a Matrix (The Horsforth Quadrant.)</w:t>
      </w:r>
      <w:r>
        <w:rPr>
          <w:spacing w:val="40"/>
        </w:rPr>
        <w:t xml:space="preserve"> </w:t>
      </w:r>
      <w:r>
        <w:t>The Class Context Sheet is shared with any Supply or Replacement Teachers in order that they can understand the needs of any pupils in the class. All teachers read pupil passports and sign to confirm they understand them.</w:t>
      </w:r>
    </w:p>
    <w:p>
      <w:pPr>
        <w:spacing w:line="259" w:lineRule="auto"/>
        <w:sectPr>
          <w:pgSz w:w="11910" w:h="16840"/>
          <w:pgMar w:top="1840" w:right="1320" w:bottom="280" w:left="1340" w:header="708" w:footer="0" w:gutter="0"/>
          <w:cols w:space="720"/>
        </w:sectPr>
      </w:pPr>
    </w:p>
    <w:p>
      <w:pPr>
        <w:pStyle w:val="BodyText"/>
        <w:spacing w:before="90" w:line="259" w:lineRule="auto"/>
        <w:ind w:right="143"/>
      </w:pPr>
      <w:r>
        <w:lastRenderedPageBreak/>
        <w:t>Targeted</w:t>
      </w:r>
      <w:r>
        <w:rPr>
          <w:spacing w:val="-2"/>
        </w:rPr>
        <w:t xml:space="preserve"> </w:t>
      </w:r>
      <w:r>
        <w:t>support</w:t>
      </w:r>
      <w:r>
        <w:rPr>
          <w:spacing w:val="-5"/>
        </w:rPr>
        <w:t xml:space="preserve"> </w:t>
      </w:r>
      <w:r>
        <w:t>is</w:t>
      </w:r>
      <w:r>
        <w:rPr>
          <w:spacing w:val="-2"/>
        </w:rPr>
        <w:t xml:space="preserve"> </w:t>
      </w:r>
      <w:r>
        <w:t>delivered</w:t>
      </w:r>
      <w:r>
        <w:rPr>
          <w:spacing w:val="-2"/>
        </w:rPr>
        <w:t xml:space="preserve"> </w:t>
      </w:r>
      <w:r>
        <w:t>in</w:t>
      </w:r>
      <w:r>
        <w:rPr>
          <w:spacing w:val="-5"/>
        </w:rPr>
        <w:t xml:space="preserve"> </w:t>
      </w:r>
      <w:r>
        <w:t>different</w:t>
      </w:r>
      <w:r>
        <w:rPr>
          <w:spacing w:val="-7"/>
        </w:rPr>
        <w:t xml:space="preserve"> </w:t>
      </w:r>
      <w:r>
        <w:t>areas</w:t>
      </w:r>
      <w:r>
        <w:rPr>
          <w:spacing w:val="-2"/>
        </w:rPr>
        <w:t xml:space="preserve"> </w:t>
      </w:r>
      <w:r>
        <w:t>of</w:t>
      </w:r>
      <w:r>
        <w:rPr>
          <w:spacing w:val="-3"/>
        </w:rPr>
        <w:t xml:space="preserve"> </w:t>
      </w:r>
      <w:r>
        <w:t>SEND</w:t>
      </w:r>
      <w:r>
        <w:rPr>
          <w:spacing w:val="-3"/>
        </w:rPr>
        <w:t xml:space="preserve"> </w:t>
      </w:r>
      <w:r>
        <w:t>based</w:t>
      </w:r>
      <w:r>
        <w:rPr>
          <w:spacing w:val="-2"/>
        </w:rPr>
        <w:t xml:space="preserve"> </w:t>
      </w:r>
      <w:r>
        <w:t>on</w:t>
      </w:r>
      <w:r>
        <w:rPr>
          <w:spacing w:val="-2"/>
        </w:rPr>
        <w:t xml:space="preserve"> </w:t>
      </w:r>
      <w:r>
        <w:t>need.</w:t>
      </w:r>
      <w:r>
        <w:rPr>
          <w:spacing w:val="40"/>
        </w:rPr>
        <w:t xml:space="preserve"> </w:t>
      </w:r>
      <w:r>
        <w:t xml:space="preserve">This </w:t>
      </w:r>
      <w:r>
        <w:rPr>
          <w:spacing w:val="-2"/>
        </w:rPr>
        <w:t>includes:</w:t>
      </w:r>
    </w:p>
    <w:p>
      <w:pPr>
        <w:pStyle w:val="BodyText"/>
        <w:ind w:left="0"/>
        <w:rPr>
          <w:sz w:val="20"/>
        </w:rPr>
      </w:pPr>
    </w:p>
    <w:p>
      <w:pPr>
        <w:pStyle w:val="BodyText"/>
        <w:spacing w:before="143"/>
        <w:ind w:left="0"/>
        <w:rPr>
          <w:sz w:val="20"/>
        </w:rPr>
      </w:pPr>
    </w:p>
    <w:tbl>
      <w:tblPr>
        <w:tblW w:w="9253" w:type="dxa"/>
        <w:tblInd w:w="1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590"/>
        <w:gridCol w:w="1874"/>
        <w:gridCol w:w="1781"/>
        <w:gridCol w:w="2088"/>
        <w:gridCol w:w="1920"/>
      </w:tblGrid>
      <w:tr>
        <w:trPr>
          <w:trHeight w:val="981"/>
        </w:trPr>
        <w:tc>
          <w:tcPr>
            <w:tcW w:w="1590" w:type="dxa"/>
          </w:tcPr>
          <w:p>
            <w:pPr>
              <w:pStyle w:val="TableParagraph"/>
              <w:spacing w:before="2"/>
              <w:ind w:right="20"/>
              <w:rPr>
                <w:b/>
                <w:sz w:val="20"/>
              </w:rPr>
            </w:pPr>
            <w:r>
              <w:rPr>
                <w:b/>
                <w:sz w:val="20"/>
              </w:rPr>
              <w:t>Area</w:t>
            </w:r>
            <w:r>
              <w:rPr>
                <w:b/>
                <w:spacing w:val="-14"/>
                <w:sz w:val="20"/>
              </w:rPr>
              <w:t xml:space="preserve"> </w:t>
            </w:r>
            <w:r>
              <w:rPr>
                <w:b/>
                <w:sz w:val="20"/>
              </w:rPr>
              <w:t>of</w:t>
            </w:r>
            <w:r>
              <w:rPr>
                <w:b/>
                <w:spacing w:val="-14"/>
                <w:sz w:val="20"/>
              </w:rPr>
              <w:t xml:space="preserve"> </w:t>
            </w:r>
            <w:r>
              <w:rPr>
                <w:b/>
                <w:sz w:val="20"/>
              </w:rPr>
              <w:t xml:space="preserve">SEN </w:t>
            </w:r>
            <w:r>
              <w:rPr>
                <w:b/>
                <w:spacing w:val="-4"/>
                <w:sz w:val="20"/>
              </w:rPr>
              <w:t>Need</w:t>
            </w:r>
          </w:p>
        </w:tc>
        <w:tc>
          <w:tcPr>
            <w:tcW w:w="1874" w:type="dxa"/>
          </w:tcPr>
          <w:p>
            <w:pPr>
              <w:pStyle w:val="TableParagraph"/>
              <w:spacing w:before="2" w:line="245" w:lineRule="exact"/>
              <w:rPr>
                <w:b/>
                <w:sz w:val="20"/>
              </w:rPr>
            </w:pPr>
            <w:r>
              <w:rPr>
                <w:b/>
                <w:spacing w:val="-4"/>
                <w:sz w:val="20"/>
              </w:rPr>
              <w:t>SEMH</w:t>
            </w:r>
          </w:p>
          <w:p>
            <w:pPr>
              <w:pStyle w:val="TableParagraph"/>
              <w:rPr>
                <w:b/>
                <w:sz w:val="20"/>
              </w:rPr>
            </w:pPr>
            <w:r>
              <w:rPr>
                <w:b/>
                <w:spacing w:val="-2"/>
                <w:sz w:val="20"/>
              </w:rPr>
              <w:t xml:space="preserve">(Social, </w:t>
            </w:r>
            <w:r>
              <w:rPr>
                <w:b/>
                <w:sz w:val="20"/>
              </w:rPr>
              <w:t>Emotional</w:t>
            </w:r>
            <w:r>
              <w:rPr>
                <w:b/>
                <w:spacing w:val="-14"/>
                <w:sz w:val="20"/>
              </w:rPr>
              <w:t xml:space="preserve"> </w:t>
            </w:r>
            <w:r>
              <w:rPr>
                <w:b/>
                <w:spacing w:val="-5"/>
                <w:sz w:val="20"/>
              </w:rPr>
              <w:t>and</w:t>
            </w:r>
          </w:p>
          <w:p>
            <w:pPr>
              <w:pStyle w:val="TableParagraph"/>
              <w:spacing w:before="2" w:line="222" w:lineRule="exact"/>
              <w:rPr>
                <w:b/>
                <w:sz w:val="20"/>
              </w:rPr>
            </w:pPr>
            <w:r>
              <w:rPr>
                <w:b/>
                <w:sz w:val="20"/>
              </w:rPr>
              <w:t>Mental</w:t>
            </w:r>
            <w:r>
              <w:rPr>
                <w:b/>
                <w:spacing w:val="-11"/>
                <w:sz w:val="20"/>
              </w:rPr>
              <w:t xml:space="preserve"> </w:t>
            </w:r>
            <w:r>
              <w:rPr>
                <w:b/>
                <w:spacing w:val="-2"/>
                <w:sz w:val="20"/>
              </w:rPr>
              <w:t>Health)</w:t>
            </w:r>
          </w:p>
        </w:tc>
        <w:tc>
          <w:tcPr>
            <w:tcW w:w="1781" w:type="dxa"/>
          </w:tcPr>
          <w:p>
            <w:pPr>
              <w:pStyle w:val="TableParagraph"/>
              <w:spacing w:before="2"/>
              <w:rPr>
                <w:b/>
                <w:sz w:val="20"/>
              </w:rPr>
            </w:pPr>
            <w:r>
              <w:rPr>
                <w:b/>
                <w:spacing w:val="-2"/>
                <w:sz w:val="20"/>
              </w:rPr>
              <w:t xml:space="preserve">Communication </w:t>
            </w:r>
            <w:r>
              <w:rPr>
                <w:b/>
                <w:sz w:val="20"/>
              </w:rPr>
              <w:t>and Interaction</w:t>
            </w:r>
          </w:p>
        </w:tc>
        <w:tc>
          <w:tcPr>
            <w:tcW w:w="2088" w:type="dxa"/>
          </w:tcPr>
          <w:p>
            <w:pPr>
              <w:pStyle w:val="TableParagraph"/>
              <w:spacing w:before="2"/>
              <w:ind w:right="585"/>
              <w:rPr>
                <w:b/>
                <w:sz w:val="20"/>
              </w:rPr>
            </w:pPr>
            <w:r>
              <w:rPr>
                <w:b/>
                <w:sz w:val="20"/>
              </w:rPr>
              <w:t>Cognition</w:t>
            </w:r>
            <w:r>
              <w:rPr>
                <w:b/>
                <w:spacing w:val="-14"/>
                <w:sz w:val="20"/>
              </w:rPr>
              <w:t xml:space="preserve"> </w:t>
            </w:r>
            <w:r>
              <w:rPr>
                <w:b/>
                <w:sz w:val="20"/>
              </w:rPr>
              <w:t xml:space="preserve">and </w:t>
            </w:r>
            <w:r>
              <w:rPr>
                <w:b/>
                <w:spacing w:val="-2"/>
                <w:sz w:val="20"/>
              </w:rPr>
              <w:t>Learning</w:t>
            </w:r>
          </w:p>
        </w:tc>
        <w:tc>
          <w:tcPr>
            <w:tcW w:w="1920" w:type="dxa"/>
          </w:tcPr>
          <w:p>
            <w:pPr>
              <w:pStyle w:val="TableParagraph"/>
              <w:spacing w:before="2"/>
              <w:ind w:right="772"/>
              <w:rPr>
                <w:b/>
                <w:sz w:val="20"/>
              </w:rPr>
            </w:pPr>
            <w:r>
              <w:rPr>
                <w:b/>
                <w:spacing w:val="-2"/>
                <w:sz w:val="20"/>
              </w:rPr>
              <w:t>Sensory and/or Physical</w:t>
            </w:r>
          </w:p>
        </w:tc>
      </w:tr>
      <w:tr>
        <w:trPr>
          <w:trHeight w:val="3924"/>
        </w:trPr>
        <w:tc>
          <w:tcPr>
            <w:tcW w:w="1590" w:type="dxa"/>
          </w:tcPr>
          <w:p>
            <w:pPr>
              <w:pStyle w:val="TableParagraph"/>
              <w:spacing w:before="2"/>
              <w:ind w:right="392"/>
              <w:jc w:val="both"/>
              <w:rPr>
                <w:sz w:val="20"/>
                <w:szCs w:val="20"/>
              </w:rPr>
            </w:pPr>
            <w:r>
              <w:rPr>
                <w:sz w:val="20"/>
                <w:szCs w:val="20"/>
              </w:rPr>
              <w:t xml:space="preserve">Some of the </w:t>
            </w:r>
            <w:r>
              <w:rPr>
                <w:spacing w:val="-2"/>
                <w:sz w:val="20"/>
                <w:szCs w:val="20"/>
              </w:rPr>
              <w:t xml:space="preserve">interventions </w:t>
            </w:r>
            <w:r>
              <w:rPr>
                <w:sz w:val="20"/>
                <w:szCs w:val="20"/>
              </w:rPr>
              <w:t xml:space="preserve">and support </w:t>
            </w:r>
            <w:r>
              <w:rPr>
                <w:spacing w:val="-2"/>
                <w:sz w:val="20"/>
                <w:szCs w:val="20"/>
              </w:rPr>
              <w:t>offered</w:t>
            </w:r>
          </w:p>
        </w:tc>
        <w:tc>
          <w:tcPr>
            <w:tcW w:w="1874" w:type="dxa"/>
          </w:tcPr>
          <w:p>
            <w:pPr>
              <w:pStyle w:val="TableParagraph"/>
              <w:spacing w:before="2" w:line="245" w:lineRule="exact"/>
              <w:rPr>
                <w:sz w:val="20"/>
              </w:rPr>
            </w:pPr>
            <w:r>
              <w:rPr>
                <w:spacing w:val="-4"/>
                <w:sz w:val="20"/>
              </w:rPr>
              <w:t>ELSA</w:t>
            </w:r>
          </w:p>
          <w:p>
            <w:pPr>
              <w:pStyle w:val="TableParagraph"/>
              <w:ind w:right="147"/>
              <w:rPr>
                <w:sz w:val="20"/>
                <w:szCs w:val="20"/>
              </w:rPr>
            </w:pPr>
            <w:r>
              <w:rPr>
                <w:spacing w:val="-2"/>
                <w:sz w:val="20"/>
                <w:szCs w:val="20"/>
              </w:rPr>
              <w:t>(Emotional Literacy Support Assistant) Sessions</w:t>
            </w:r>
          </w:p>
          <w:p>
            <w:pPr>
              <w:pStyle w:val="TableParagraph"/>
              <w:spacing w:before="1" w:line="480" w:lineRule="auto"/>
              <w:ind w:right="117"/>
              <w:rPr>
                <w:sz w:val="20"/>
                <w:szCs w:val="20"/>
              </w:rPr>
            </w:pPr>
            <w:r>
              <w:rPr>
                <w:sz w:val="20"/>
                <w:szCs w:val="20"/>
              </w:rPr>
              <w:t>Therapeutic Art</w:t>
            </w:r>
          </w:p>
          <w:p>
            <w:pPr>
              <w:pStyle w:val="TableParagraph"/>
              <w:spacing w:before="1" w:line="480" w:lineRule="auto"/>
              <w:ind w:right="117"/>
              <w:rPr>
                <w:sz w:val="20"/>
                <w:szCs w:val="20"/>
              </w:rPr>
            </w:pPr>
            <w:r>
              <w:rPr>
                <w:sz w:val="20"/>
                <w:szCs w:val="20"/>
              </w:rPr>
              <w:t>Thrive Sessions</w:t>
            </w:r>
          </w:p>
          <w:p>
            <w:pPr>
              <w:pStyle w:val="TableParagraph"/>
              <w:rPr>
                <w:sz w:val="20"/>
              </w:rPr>
            </w:pPr>
            <w:r>
              <w:rPr>
                <w:sz w:val="20"/>
              </w:rPr>
              <w:t xml:space="preserve">Zones of </w:t>
            </w:r>
            <w:r>
              <w:rPr>
                <w:spacing w:val="-2"/>
                <w:sz w:val="20"/>
              </w:rPr>
              <w:t>Regulation</w:t>
            </w:r>
          </w:p>
          <w:p>
            <w:pPr>
              <w:pStyle w:val="TableParagraph"/>
              <w:spacing w:before="244"/>
              <w:rPr>
                <w:sz w:val="20"/>
                <w:szCs w:val="20"/>
              </w:rPr>
            </w:pPr>
            <w:r>
              <w:rPr>
                <w:sz w:val="20"/>
                <w:szCs w:val="20"/>
              </w:rPr>
              <w:t>Best</w:t>
            </w:r>
            <w:r>
              <w:rPr>
                <w:spacing w:val="-3"/>
                <w:sz w:val="20"/>
                <w:szCs w:val="20"/>
              </w:rPr>
              <w:t xml:space="preserve"> </w:t>
            </w:r>
            <w:r>
              <w:rPr>
                <w:spacing w:val="-2"/>
                <w:sz w:val="20"/>
                <w:szCs w:val="20"/>
              </w:rPr>
              <w:t>Mentoring</w:t>
            </w:r>
          </w:p>
          <w:p>
            <w:pPr>
              <w:pStyle w:val="TableParagraph"/>
              <w:spacing w:before="244"/>
              <w:rPr>
                <w:sz w:val="20"/>
                <w:szCs w:val="20"/>
              </w:rPr>
            </w:pPr>
            <w:r>
              <w:rPr>
                <w:sz w:val="20"/>
                <w:szCs w:val="20"/>
              </w:rPr>
              <w:t>Think About – Alex Kelly</w:t>
            </w:r>
          </w:p>
          <w:p>
            <w:pPr>
              <w:pStyle w:val="TableParagraph"/>
              <w:spacing w:before="244"/>
              <w:rPr>
                <w:sz w:val="20"/>
                <w:szCs w:val="20"/>
              </w:rPr>
            </w:pPr>
            <w:r>
              <w:rPr>
                <w:sz w:val="20"/>
                <w:szCs w:val="20"/>
              </w:rPr>
              <w:t>Beating the Anxiety Gremlin</w:t>
            </w:r>
          </w:p>
        </w:tc>
        <w:tc>
          <w:tcPr>
            <w:tcW w:w="1781" w:type="dxa"/>
          </w:tcPr>
          <w:p>
            <w:pPr>
              <w:pStyle w:val="TableParagraph"/>
              <w:spacing w:before="2"/>
              <w:rPr>
                <w:sz w:val="20"/>
              </w:rPr>
            </w:pPr>
            <w:r>
              <w:rPr>
                <w:sz w:val="20"/>
              </w:rPr>
              <w:t>Social</w:t>
            </w:r>
            <w:r>
              <w:rPr>
                <w:spacing w:val="-8"/>
                <w:sz w:val="20"/>
              </w:rPr>
              <w:t xml:space="preserve"> </w:t>
            </w:r>
            <w:r>
              <w:rPr>
                <w:spacing w:val="-2"/>
                <w:sz w:val="20"/>
              </w:rPr>
              <w:t>Thinking</w:t>
            </w:r>
          </w:p>
          <w:p>
            <w:pPr>
              <w:pStyle w:val="TableParagraph"/>
              <w:spacing w:before="245"/>
              <w:ind w:right="628"/>
              <w:rPr>
                <w:sz w:val="20"/>
              </w:rPr>
            </w:pPr>
            <w:r>
              <w:rPr>
                <w:sz w:val="20"/>
              </w:rPr>
              <w:t>Social</w:t>
            </w:r>
            <w:r>
              <w:rPr>
                <w:spacing w:val="-14"/>
                <w:sz w:val="20"/>
              </w:rPr>
              <w:t xml:space="preserve"> </w:t>
            </w:r>
            <w:r>
              <w:rPr>
                <w:sz w:val="20"/>
              </w:rPr>
              <w:t xml:space="preserve">Skills </w:t>
            </w:r>
            <w:r>
              <w:rPr>
                <w:spacing w:val="-2"/>
                <w:sz w:val="20"/>
              </w:rPr>
              <w:t>Groups</w:t>
            </w:r>
          </w:p>
          <w:p>
            <w:pPr>
              <w:pStyle w:val="TableParagraph"/>
              <w:spacing w:before="1"/>
              <w:ind w:left="0"/>
              <w:rPr>
                <w:sz w:val="20"/>
              </w:rPr>
            </w:pPr>
          </w:p>
          <w:p>
            <w:pPr>
              <w:pStyle w:val="TableParagraph"/>
              <w:ind w:right="198"/>
              <w:rPr>
                <w:sz w:val="20"/>
                <w:szCs w:val="20"/>
              </w:rPr>
            </w:pPr>
            <w:r>
              <w:rPr>
                <w:sz w:val="20"/>
                <w:szCs w:val="20"/>
              </w:rPr>
              <w:t xml:space="preserve">Advice and </w:t>
            </w:r>
            <w:r>
              <w:rPr>
                <w:spacing w:val="-2"/>
                <w:sz w:val="20"/>
                <w:szCs w:val="20"/>
              </w:rPr>
              <w:t xml:space="preserve">intervention </w:t>
            </w:r>
            <w:r>
              <w:rPr>
                <w:sz w:val="20"/>
                <w:szCs w:val="20"/>
              </w:rPr>
              <w:t>from Speech and</w:t>
            </w:r>
            <w:r>
              <w:rPr>
                <w:spacing w:val="-14"/>
                <w:sz w:val="20"/>
                <w:szCs w:val="20"/>
              </w:rPr>
              <w:t xml:space="preserve"> </w:t>
            </w:r>
            <w:r>
              <w:rPr>
                <w:sz w:val="20"/>
                <w:szCs w:val="20"/>
              </w:rPr>
              <w:t xml:space="preserve">Language </w:t>
            </w:r>
            <w:r>
              <w:rPr>
                <w:spacing w:val="-2"/>
                <w:sz w:val="20"/>
                <w:szCs w:val="20"/>
              </w:rPr>
              <w:t>Therapist</w:t>
            </w:r>
          </w:p>
          <w:p>
            <w:pPr>
              <w:pStyle w:val="TableParagraph"/>
              <w:ind w:right="198"/>
              <w:rPr>
                <w:sz w:val="20"/>
                <w:szCs w:val="20"/>
              </w:rPr>
            </w:pPr>
          </w:p>
          <w:p>
            <w:pPr>
              <w:pStyle w:val="TableParagraph"/>
              <w:ind w:right="198"/>
              <w:rPr>
                <w:sz w:val="20"/>
                <w:szCs w:val="20"/>
              </w:rPr>
            </w:pPr>
            <w:r>
              <w:rPr>
                <w:sz w:val="20"/>
                <w:szCs w:val="20"/>
              </w:rPr>
              <w:t>Language for Behaviour and Emotion</w:t>
            </w:r>
          </w:p>
        </w:tc>
        <w:tc>
          <w:tcPr>
            <w:tcW w:w="2088" w:type="dxa"/>
          </w:tcPr>
          <w:p>
            <w:pPr>
              <w:pStyle w:val="TableParagraph"/>
              <w:spacing w:before="2"/>
              <w:ind w:right="202"/>
              <w:rPr>
                <w:sz w:val="20"/>
              </w:rPr>
            </w:pPr>
            <w:r>
              <w:rPr>
                <w:sz w:val="20"/>
              </w:rPr>
              <w:t>Coloured</w:t>
            </w:r>
            <w:r>
              <w:rPr>
                <w:spacing w:val="-14"/>
                <w:sz w:val="20"/>
              </w:rPr>
              <w:t xml:space="preserve"> </w:t>
            </w:r>
            <w:r>
              <w:rPr>
                <w:sz w:val="20"/>
              </w:rPr>
              <w:t>overlays and coloured exercise books</w:t>
            </w:r>
          </w:p>
          <w:p>
            <w:pPr>
              <w:pStyle w:val="TableParagraph"/>
              <w:spacing w:before="1"/>
              <w:ind w:left="0"/>
              <w:rPr>
                <w:sz w:val="20"/>
              </w:rPr>
            </w:pPr>
          </w:p>
          <w:p>
            <w:pPr>
              <w:pStyle w:val="TableParagraph"/>
              <w:rPr>
                <w:sz w:val="20"/>
                <w:szCs w:val="20"/>
              </w:rPr>
            </w:pPr>
            <w:r>
              <w:rPr>
                <w:spacing w:val="-2"/>
                <w:sz w:val="20"/>
                <w:szCs w:val="20"/>
              </w:rPr>
              <w:t xml:space="preserve">Literacy/Numeracy/Reading  interventions </w:t>
            </w:r>
          </w:p>
          <w:p>
            <w:pPr>
              <w:pStyle w:val="TableParagraph"/>
              <w:rPr>
                <w:sz w:val="20"/>
                <w:szCs w:val="20"/>
              </w:rPr>
            </w:pPr>
          </w:p>
          <w:p>
            <w:pPr>
              <w:pStyle w:val="TableParagraph"/>
              <w:rPr>
                <w:sz w:val="20"/>
                <w:szCs w:val="20"/>
              </w:rPr>
            </w:pPr>
            <w:r>
              <w:rPr>
                <w:sz w:val="20"/>
                <w:szCs w:val="20"/>
              </w:rPr>
              <w:t>Inference Intervention</w:t>
            </w:r>
          </w:p>
          <w:p>
            <w:pPr>
              <w:pStyle w:val="TableParagraph"/>
              <w:rPr>
                <w:sz w:val="20"/>
                <w:szCs w:val="20"/>
              </w:rPr>
            </w:pPr>
          </w:p>
        </w:tc>
        <w:tc>
          <w:tcPr>
            <w:tcW w:w="1920" w:type="dxa"/>
          </w:tcPr>
          <w:p>
            <w:pPr>
              <w:pStyle w:val="TableParagraph"/>
              <w:spacing w:before="2"/>
              <w:ind w:right="291"/>
              <w:rPr>
                <w:sz w:val="20"/>
              </w:rPr>
            </w:pPr>
            <w:r>
              <w:rPr>
                <w:sz w:val="20"/>
              </w:rPr>
              <w:t>Access to sensory</w:t>
            </w:r>
            <w:r>
              <w:rPr>
                <w:spacing w:val="-14"/>
                <w:sz w:val="20"/>
              </w:rPr>
              <w:t xml:space="preserve"> </w:t>
            </w:r>
            <w:r>
              <w:rPr>
                <w:sz w:val="20"/>
              </w:rPr>
              <w:t>room</w:t>
            </w:r>
          </w:p>
          <w:p>
            <w:pPr>
              <w:pStyle w:val="TableParagraph"/>
              <w:spacing w:before="244"/>
              <w:ind w:right="501"/>
              <w:rPr>
                <w:sz w:val="20"/>
              </w:rPr>
            </w:pPr>
            <w:r>
              <w:rPr>
                <w:spacing w:val="-2"/>
                <w:sz w:val="20"/>
              </w:rPr>
              <w:t>Movement breaks</w:t>
            </w:r>
          </w:p>
          <w:p>
            <w:pPr>
              <w:pStyle w:val="TableParagraph"/>
              <w:spacing w:before="2"/>
              <w:ind w:left="0"/>
              <w:rPr>
                <w:sz w:val="20"/>
              </w:rPr>
            </w:pPr>
          </w:p>
          <w:p>
            <w:pPr>
              <w:pStyle w:val="TableParagraph"/>
              <w:spacing w:line="480" w:lineRule="auto"/>
              <w:ind w:right="129"/>
              <w:rPr>
                <w:sz w:val="20"/>
              </w:rPr>
            </w:pPr>
            <w:r>
              <w:rPr>
                <w:sz w:val="20"/>
              </w:rPr>
              <w:t>Fiddle toys</w:t>
            </w:r>
            <w:r>
              <w:rPr>
                <w:spacing w:val="40"/>
                <w:sz w:val="20"/>
              </w:rPr>
              <w:t xml:space="preserve"> </w:t>
            </w:r>
            <w:r>
              <w:rPr>
                <w:sz w:val="20"/>
              </w:rPr>
              <w:t>Best</w:t>
            </w:r>
            <w:r>
              <w:rPr>
                <w:spacing w:val="-14"/>
                <w:sz w:val="20"/>
              </w:rPr>
              <w:t xml:space="preserve"> </w:t>
            </w:r>
            <w:r>
              <w:rPr>
                <w:sz w:val="20"/>
              </w:rPr>
              <w:t>Mentoring</w:t>
            </w:r>
          </w:p>
        </w:tc>
      </w:tr>
    </w:tbl>
    <w:p>
      <w:pPr>
        <w:pStyle w:val="BodyText"/>
        <w:spacing w:before="186"/>
        <w:ind w:left="0"/>
      </w:pPr>
    </w:p>
    <w:p>
      <w:pPr>
        <w:pStyle w:val="BodyText"/>
        <w:spacing w:line="259" w:lineRule="auto"/>
        <w:ind w:right="182"/>
      </w:pPr>
      <w:r>
        <w:t>Pupils receive support from a pastoral team within every EOTAS college.</w:t>
      </w:r>
      <w:r>
        <w:rPr>
          <w:spacing w:val="40"/>
        </w:rPr>
        <w:t xml:space="preserve"> </w:t>
      </w:r>
      <w:r>
        <w:t>A range</w:t>
      </w:r>
      <w:r>
        <w:rPr>
          <w:spacing w:val="-3"/>
        </w:rPr>
        <w:t xml:space="preserve"> </w:t>
      </w:r>
      <w:r>
        <w:t>of</w:t>
      </w:r>
      <w:r>
        <w:rPr>
          <w:spacing w:val="-4"/>
        </w:rPr>
        <w:t xml:space="preserve"> </w:t>
      </w:r>
      <w:r>
        <w:t>professionals</w:t>
      </w:r>
      <w:r>
        <w:rPr>
          <w:spacing w:val="-1"/>
        </w:rPr>
        <w:t xml:space="preserve"> </w:t>
      </w:r>
      <w:r>
        <w:t>are</w:t>
      </w:r>
      <w:r>
        <w:rPr>
          <w:spacing w:val="-3"/>
        </w:rPr>
        <w:t xml:space="preserve"> </w:t>
      </w:r>
      <w:r>
        <w:t>based</w:t>
      </w:r>
      <w:r>
        <w:rPr>
          <w:spacing w:val="-4"/>
        </w:rPr>
        <w:t xml:space="preserve"> </w:t>
      </w:r>
      <w:r>
        <w:t>within</w:t>
      </w:r>
      <w:r>
        <w:rPr>
          <w:spacing w:val="-3"/>
        </w:rPr>
        <w:t xml:space="preserve"> </w:t>
      </w:r>
      <w:r>
        <w:t>EOTAS</w:t>
      </w:r>
      <w:r>
        <w:rPr>
          <w:spacing w:val="-3"/>
        </w:rPr>
        <w:t xml:space="preserve"> colleges</w:t>
      </w:r>
      <w:r>
        <w:t xml:space="preserve"> or</w:t>
      </w:r>
      <w:r>
        <w:rPr>
          <w:spacing w:val="-3"/>
        </w:rPr>
        <w:t xml:space="preserve"> </w:t>
      </w:r>
      <w:r>
        <w:t>have</w:t>
      </w:r>
      <w:r>
        <w:rPr>
          <w:spacing w:val="-3"/>
        </w:rPr>
        <w:t xml:space="preserve"> </w:t>
      </w:r>
      <w:r>
        <w:t>close</w:t>
      </w:r>
      <w:r>
        <w:rPr>
          <w:spacing w:val="-7"/>
        </w:rPr>
        <w:t xml:space="preserve"> </w:t>
      </w:r>
      <w:r>
        <w:t>links</w:t>
      </w:r>
      <w:r>
        <w:rPr>
          <w:spacing w:val="-5"/>
        </w:rPr>
        <w:t xml:space="preserve"> </w:t>
      </w:r>
      <w:r>
        <w:t>with EOTAS; this includes Early Help Services, Speech and Language Therapy and Educational Psychology.</w:t>
      </w:r>
      <w:r>
        <w:rPr>
          <w:spacing w:val="40"/>
        </w:rPr>
        <w:t xml:space="preserve"> </w:t>
      </w:r>
      <w:r>
        <w:t>Support from these professionals is allocated on a needs-led basis.</w:t>
      </w:r>
    </w:p>
    <w:p>
      <w:pPr>
        <w:pStyle w:val="BodyText"/>
        <w:spacing w:before="159" w:line="259" w:lineRule="auto"/>
        <w:ind w:right="143"/>
      </w:pPr>
      <w:r>
        <w:t>Referrals to other outside agencies such as: the Swindon Dyslexia Service, Paediatric</w:t>
      </w:r>
      <w:r>
        <w:rPr>
          <w:spacing w:val="-4"/>
        </w:rPr>
        <w:t xml:space="preserve"> </w:t>
      </w:r>
      <w:r>
        <w:t>Occupational</w:t>
      </w:r>
      <w:r>
        <w:rPr>
          <w:spacing w:val="-3"/>
        </w:rPr>
        <w:t xml:space="preserve"> </w:t>
      </w:r>
      <w:r>
        <w:t>Therapy,</w:t>
      </w:r>
      <w:r>
        <w:rPr>
          <w:spacing w:val="-4"/>
        </w:rPr>
        <w:t xml:space="preserve"> </w:t>
      </w:r>
      <w:r>
        <w:t>the</w:t>
      </w:r>
      <w:r>
        <w:rPr>
          <w:spacing w:val="-5"/>
        </w:rPr>
        <w:t xml:space="preserve"> </w:t>
      </w:r>
      <w:r>
        <w:t>Orthoptics</w:t>
      </w:r>
      <w:r>
        <w:rPr>
          <w:spacing w:val="-5"/>
        </w:rPr>
        <w:t xml:space="preserve"> </w:t>
      </w:r>
      <w:r>
        <w:t>Department</w:t>
      </w:r>
      <w:r>
        <w:rPr>
          <w:spacing w:val="-8"/>
        </w:rPr>
        <w:t xml:space="preserve"> </w:t>
      </w:r>
      <w:r>
        <w:t>at</w:t>
      </w:r>
      <w:r>
        <w:rPr>
          <w:spacing w:val="-10"/>
        </w:rPr>
        <w:t xml:space="preserve"> </w:t>
      </w:r>
      <w:r>
        <w:t>GWH are made as required.</w:t>
      </w:r>
    </w:p>
    <w:p>
      <w:pPr>
        <w:pStyle w:val="BodyText"/>
        <w:ind w:left="0"/>
      </w:pPr>
    </w:p>
    <w:p>
      <w:pPr>
        <w:pStyle w:val="BodyText"/>
        <w:spacing w:before="103"/>
        <w:ind w:left="0"/>
      </w:pPr>
    </w:p>
    <w:p>
      <w:pPr>
        <w:pStyle w:val="Heading1"/>
      </w:pPr>
      <w:r>
        <w:t>How</w:t>
      </w:r>
      <w:r>
        <w:rPr>
          <w:spacing w:val="-7"/>
        </w:rPr>
        <w:t xml:space="preserve"> </w:t>
      </w:r>
      <w:r>
        <w:t>is</w:t>
      </w:r>
      <w:r>
        <w:rPr>
          <w:spacing w:val="-4"/>
        </w:rPr>
        <w:t xml:space="preserve"> </w:t>
      </w:r>
      <w:r>
        <w:t>progress</w:t>
      </w:r>
      <w:r>
        <w:rPr>
          <w:spacing w:val="-5"/>
        </w:rPr>
        <w:t xml:space="preserve"> </w:t>
      </w:r>
      <w:r>
        <w:t>towards</w:t>
      </w:r>
      <w:r>
        <w:rPr>
          <w:spacing w:val="-6"/>
        </w:rPr>
        <w:t xml:space="preserve"> </w:t>
      </w:r>
      <w:r>
        <w:t>outcomes</w:t>
      </w:r>
      <w:r>
        <w:rPr>
          <w:spacing w:val="-7"/>
        </w:rPr>
        <w:t xml:space="preserve"> </w:t>
      </w:r>
      <w:r>
        <w:t>assessed</w:t>
      </w:r>
      <w:r>
        <w:rPr>
          <w:spacing w:val="-4"/>
        </w:rPr>
        <w:t xml:space="preserve"> </w:t>
      </w:r>
      <w:r>
        <w:t>and</w:t>
      </w:r>
      <w:r>
        <w:rPr>
          <w:spacing w:val="-5"/>
        </w:rPr>
        <w:t xml:space="preserve"> </w:t>
      </w:r>
      <w:r>
        <w:rPr>
          <w:spacing w:val="-2"/>
        </w:rPr>
        <w:t>monitored?</w:t>
      </w:r>
    </w:p>
    <w:p>
      <w:pPr>
        <w:pStyle w:val="BodyText"/>
        <w:spacing w:before="186" w:line="259" w:lineRule="auto"/>
        <w:ind w:right="143"/>
      </w:pPr>
      <w:r>
        <w:t>Progress towards outcomes is tracked through assessments at review points three</w:t>
      </w:r>
      <w:r>
        <w:rPr>
          <w:spacing w:val="-1"/>
        </w:rPr>
        <w:t xml:space="preserve"> </w:t>
      </w:r>
      <w:r>
        <w:t>times</w:t>
      </w:r>
      <w:r>
        <w:rPr>
          <w:spacing w:val="-3"/>
        </w:rPr>
        <w:t xml:space="preserve"> </w:t>
      </w:r>
      <w:r>
        <w:t>a</w:t>
      </w:r>
      <w:r>
        <w:rPr>
          <w:spacing w:val="-4"/>
        </w:rPr>
        <w:t xml:space="preserve"> </w:t>
      </w:r>
      <w:r>
        <w:t>year.</w:t>
      </w:r>
      <w:r>
        <w:rPr>
          <w:spacing w:val="40"/>
        </w:rPr>
        <w:t xml:space="preserve"> </w:t>
      </w:r>
      <w:r>
        <w:t>Some</w:t>
      </w:r>
      <w:r>
        <w:rPr>
          <w:spacing w:val="-3"/>
        </w:rPr>
        <w:t xml:space="preserve"> </w:t>
      </w:r>
      <w:r>
        <w:t>assessments</w:t>
      </w:r>
      <w:r>
        <w:rPr>
          <w:spacing w:val="-3"/>
        </w:rPr>
        <w:t xml:space="preserve"> </w:t>
      </w:r>
      <w:r>
        <w:t>such</w:t>
      </w:r>
      <w:r>
        <w:rPr>
          <w:spacing w:val="-3"/>
        </w:rPr>
        <w:t xml:space="preserve"> </w:t>
      </w:r>
      <w:r>
        <w:t>as LUCID,</w:t>
      </w:r>
      <w:r>
        <w:rPr>
          <w:spacing w:val="-4"/>
        </w:rPr>
        <w:t xml:space="preserve"> </w:t>
      </w:r>
      <w:r>
        <w:t>Progress</w:t>
      </w:r>
      <w:r>
        <w:rPr>
          <w:spacing w:val="-3"/>
        </w:rPr>
        <w:t xml:space="preserve"> </w:t>
      </w:r>
      <w:r>
        <w:t>Test</w:t>
      </w:r>
      <w:r>
        <w:rPr>
          <w:spacing w:val="-8"/>
        </w:rPr>
        <w:t xml:space="preserve"> </w:t>
      </w:r>
      <w:r>
        <w:t>Maths and the SEMH Profile are also repeated three times a year, to track progress.</w:t>
      </w:r>
    </w:p>
    <w:p>
      <w:pPr>
        <w:pStyle w:val="BodyText"/>
        <w:spacing w:before="159" w:line="259" w:lineRule="auto"/>
        <w:ind w:right="143"/>
      </w:pPr>
      <w:r>
        <w:t>Progress</w:t>
      </w:r>
      <w:r>
        <w:rPr>
          <w:spacing w:val="-4"/>
        </w:rPr>
        <w:t xml:space="preserve"> </w:t>
      </w:r>
      <w:r>
        <w:t>is</w:t>
      </w:r>
      <w:r>
        <w:rPr>
          <w:spacing w:val="-4"/>
        </w:rPr>
        <w:t xml:space="preserve"> </w:t>
      </w:r>
      <w:r>
        <w:t>also</w:t>
      </w:r>
      <w:r>
        <w:rPr>
          <w:spacing w:val="-5"/>
        </w:rPr>
        <w:t xml:space="preserve"> </w:t>
      </w:r>
      <w:r>
        <w:t>discussed and</w:t>
      </w:r>
      <w:r>
        <w:rPr>
          <w:spacing w:val="-4"/>
        </w:rPr>
        <w:t xml:space="preserve"> </w:t>
      </w:r>
      <w:r>
        <w:t>recorded</w:t>
      </w:r>
      <w:r>
        <w:rPr>
          <w:spacing w:val="-2"/>
        </w:rPr>
        <w:t xml:space="preserve"> </w:t>
      </w:r>
      <w:r>
        <w:t>at</w:t>
      </w:r>
      <w:r>
        <w:rPr>
          <w:spacing w:val="-4"/>
        </w:rPr>
        <w:t xml:space="preserve"> </w:t>
      </w:r>
      <w:r>
        <w:t>termly</w:t>
      </w:r>
      <w:r>
        <w:rPr>
          <w:spacing w:val="-6"/>
        </w:rPr>
        <w:t xml:space="preserve"> </w:t>
      </w:r>
      <w:r>
        <w:t>pupil</w:t>
      </w:r>
      <w:r>
        <w:rPr>
          <w:spacing w:val="-2"/>
        </w:rPr>
        <w:t xml:space="preserve"> </w:t>
      </w:r>
      <w:r>
        <w:t>review</w:t>
      </w:r>
      <w:r>
        <w:rPr>
          <w:spacing w:val="-4"/>
        </w:rPr>
        <w:t xml:space="preserve"> </w:t>
      </w:r>
      <w:r>
        <w:t>meetings</w:t>
      </w:r>
      <w:r>
        <w:rPr>
          <w:spacing w:val="-1"/>
        </w:rPr>
        <w:t xml:space="preserve"> </w:t>
      </w:r>
      <w:r>
        <w:t>and school case management meetings.</w:t>
      </w:r>
    </w:p>
    <w:p>
      <w:pPr>
        <w:pStyle w:val="BodyText"/>
        <w:spacing w:before="161" w:line="259" w:lineRule="auto"/>
        <w:ind w:right="580"/>
        <w:jc w:val="both"/>
      </w:pPr>
      <w:r>
        <w:t>For those pupils with an Early Help</w:t>
      </w:r>
      <w:r>
        <w:rPr>
          <w:spacing w:val="-1"/>
        </w:rPr>
        <w:t xml:space="preserve"> </w:t>
      </w:r>
      <w:r>
        <w:t>Record and Plan, progress is</w:t>
      </w:r>
      <w:r>
        <w:rPr>
          <w:spacing w:val="-2"/>
        </w:rPr>
        <w:t xml:space="preserve"> </w:t>
      </w:r>
      <w:r>
        <w:t>monitored through TAC Reviews.</w:t>
      </w:r>
      <w:r>
        <w:rPr>
          <w:spacing w:val="40"/>
        </w:rPr>
        <w:t xml:space="preserve"> </w:t>
      </w:r>
      <w:r>
        <w:t>For Pupils who are open to Social Care, progress is monitored through</w:t>
      </w:r>
      <w:r>
        <w:rPr>
          <w:spacing w:val="-2"/>
        </w:rPr>
        <w:t xml:space="preserve"> </w:t>
      </w:r>
      <w:r>
        <w:t>Child</w:t>
      </w:r>
      <w:r>
        <w:rPr>
          <w:spacing w:val="-4"/>
        </w:rPr>
        <w:t xml:space="preserve"> </w:t>
      </w:r>
      <w:r>
        <w:t>in</w:t>
      </w:r>
      <w:r>
        <w:rPr>
          <w:spacing w:val="-2"/>
        </w:rPr>
        <w:t xml:space="preserve"> </w:t>
      </w:r>
      <w:r>
        <w:t>Need</w:t>
      </w:r>
      <w:r>
        <w:rPr>
          <w:spacing w:val="-3"/>
        </w:rPr>
        <w:t xml:space="preserve"> </w:t>
      </w:r>
      <w:r>
        <w:t>(CHiN)</w:t>
      </w:r>
      <w:r>
        <w:rPr>
          <w:spacing w:val="-5"/>
        </w:rPr>
        <w:t xml:space="preserve"> </w:t>
      </w:r>
      <w:r>
        <w:t>or</w:t>
      </w:r>
      <w:r>
        <w:rPr>
          <w:spacing w:val="-2"/>
        </w:rPr>
        <w:t xml:space="preserve"> </w:t>
      </w:r>
      <w:r>
        <w:t>Child</w:t>
      </w:r>
      <w:r>
        <w:rPr>
          <w:spacing w:val="-4"/>
        </w:rPr>
        <w:t xml:space="preserve"> </w:t>
      </w:r>
      <w:r>
        <w:t>Protection</w:t>
      </w:r>
      <w:r>
        <w:rPr>
          <w:spacing w:val="-2"/>
        </w:rPr>
        <w:t xml:space="preserve"> </w:t>
      </w:r>
      <w:r>
        <w:t>meetings.</w:t>
      </w:r>
      <w:r>
        <w:rPr>
          <w:spacing w:val="61"/>
        </w:rPr>
        <w:t xml:space="preserve"> </w:t>
      </w:r>
      <w:r>
        <w:rPr>
          <w:spacing w:val="-5"/>
        </w:rPr>
        <w:t>For</w:t>
      </w:r>
    </w:p>
    <w:p>
      <w:pPr>
        <w:spacing w:line="259" w:lineRule="auto"/>
        <w:jc w:val="both"/>
        <w:sectPr>
          <w:pgSz w:w="11910" w:h="16840"/>
          <w:pgMar w:top="1840" w:right="1320" w:bottom="280" w:left="1340" w:header="708" w:footer="0" w:gutter="0"/>
          <w:cols w:space="720"/>
        </w:sectPr>
      </w:pPr>
    </w:p>
    <w:p>
      <w:pPr>
        <w:pStyle w:val="BodyText"/>
        <w:spacing w:before="90" w:line="259" w:lineRule="auto"/>
        <w:ind w:left="0" w:right="143"/>
      </w:pPr>
      <w:r>
        <w:lastRenderedPageBreak/>
        <w:t xml:space="preserve">   Looked</w:t>
      </w:r>
      <w:r>
        <w:rPr>
          <w:spacing w:val="-5"/>
        </w:rPr>
        <w:t xml:space="preserve"> </w:t>
      </w:r>
      <w:r>
        <w:t>After</w:t>
      </w:r>
      <w:r>
        <w:rPr>
          <w:spacing w:val="-4"/>
        </w:rPr>
        <w:t xml:space="preserve"> </w:t>
      </w:r>
      <w:r>
        <w:t>pupils,</w:t>
      </w:r>
      <w:r>
        <w:rPr>
          <w:spacing w:val="-7"/>
        </w:rPr>
        <w:t xml:space="preserve"> </w:t>
      </w:r>
      <w:r>
        <w:t>progress</w:t>
      </w:r>
      <w:r>
        <w:rPr>
          <w:spacing w:val="-5"/>
        </w:rPr>
        <w:t xml:space="preserve"> </w:t>
      </w:r>
      <w:r>
        <w:t>is</w:t>
      </w:r>
      <w:r>
        <w:rPr>
          <w:spacing w:val="-5"/>
        </w:rPr>
        <w:t xml:space="preserve"> </w:t>
      </w:r>
      <w:r>
        <w:t>monitored</w:t>
      </w:r>
      <w:r>
        <w:rPr>
          <w:spacing w:val="-2"/>
        </w:rPr>
        <w:t xml:space="preserve"> </w:t>
      </w:r>
      <w:r>
        <w:t>through</w:t>
      </w:r>
      <w:r>
        <w:rPr>
          <w:spacing w:val="-5"/>
        </w:rPr>
        <w:t xml:space="preserve"> </w:t>
      </w:r>
      <w:r>
        <w:t>Personal</w:t>
      </w:r>
      <w:r>
        <w:rPr>
          <w:spacing w:val="-3"/>
        </w:rPr>
        <w:t xml:space="preserve"> </w:t>
      </w:r>
      <w:r>
        <w:t>Education</w:t>
      </w:r>
      <w:r>
        <w:rPr>
          <w:spacing w:val="-5"/>
        </w:rPr>
        <w:t xml:space="preserve"> </w:t>
      </w:r>
      <w:r>
        <w:t>Plan (PEP) meetings.</w:t>
      </w:r>
    </w:p>
    <w:p>
      <w:pPr>
        <w:pStyle w:val="BodyText"/>
        <w:spacing w:before="159" w:line="259" w:lineRule="auto"/>
        <w:ind w:right="143"/>
      </w:pPr>
      <w:r>
        <w:t>The</w:t>
      </w:r>
      <w:r>
        <w:rPr>
          <w:spacing w:val="-3"/>
        </w:rPr>
        <w:t xml:space="preserve"> </w:t>
      </w:r>
      <w:r>
        <w:t>progress</w:t>
      </w:r>
      <w:r>
        <w:rPr>
          <w:spacing w:val="-3"/>
        </w:rPr>
        <w:t xml:space="preserve"> </w:t>
      </w:r>
      <w:r>
        <w:t>of</w:t>
      </w:r>
      <w:r>
        <w:rPr>
          <w:spacing w:val="-4"/>
        </w:rPr>
        <w:t xml:space="preserve"> </w:t>
      </w:r>
      <w:r>
        <w:t>each</w:t>
      </w:r>
      <w:r>
        <w:rPr>
          <w:spacing w:val="-3"/>
        </w:rPr>
        <w:t xml:space="preserve"> </w:t>
      </w:r>
      <w:r>
        <w:t>pupil is</w:t>
      </w:r>
      <w:r>
        <w:rPr>
          <w:spacing w:val="-3"/>
        </w:rPr>
        <w:t xml:space="preserve"> </w:t>
      </w:r>
      <w:r>
        <w:t>also</w:t>
      </w:r>
      <w:r>
        <w:rPr>
          <w:spacing w:val="-4"/>
        </w:rPr>
        <w:t xml:space="preserve"> </w:t>
      </w:r>
      <w:r>
        <w:t>tracked</w:t>
      </w:r>
      <w:r>
        <w:rPr>
          <w:spacing w:val="-3"/>
        </w:rPr>
        <w:t xml:space="preserve"> </w:t>
      </w:r>
      <w:r>
        <w:t>through</w:t>
      </w:r>
      <w:r>
        <w:rPr>
          <w:spacing w:val="-4"/>
        </w:rPr>
        <w:t xml:space="preserve"> </w:t>
      </w:r>
      <w:r>
        <w:t>2-3</w:t>
      </w:r>
      <w:r>
        <w:rPr>
          <w:spacing w:val="-4"/>
        </w:rPr>
        <w:t xml:space="preserve"> </w:t>
      </w:r>
      <w:r>
        <w:t>weekly</w:t>
      </w:r>
      <w:r>
        <w:rPr>
          <w:spacing w:val="-5"/>
        </w:rPr>
        <w:t xml:space="preserve"> </w:t>
      </w:r>
      <w:r>
        <w:t>Case Management meetings.</w:t>
      </w:r>
    </w:p>
    <w:p>
      <w:pPr>
        <w:pStyle w:val="BodyText"/>
        <w:spacing w:before="159" w:line="259" w:lineRule="auto"/>
        <w:ind w:right="143"/>
      </w:pPr>
      <w:r>
        <w:t>Where</w:t>
      </w:r>
      <w:r>
        <w:rPr>
          <w:spacing w:val="-4"/>
        </w:rPr>
        <w:t xml:space="preserve"> </w:t>
      </w:r>
      <w:r>
        <w:t>pupils</w:t>
      </w:r>
      <w:r>
        <w:rPr>
          <w:spacing w:val="-4"/>
        </w:rPr>
        <w:t xml:space="preserve"> </w:t>
      </w:r>
      <w:r>
        <w:t>are</w:t>
      </w:r>
      <w:r>
        <w:rPr>
          <w:spacing w:val="-6"/>
        </w:rPr>
        <w:t xml:space="preserve"> </w:t>
      </w:r>
      <w:r>
        <w:t>causing</w:t>
      </w:r>
      <w:r>
        <w:rPr>
          <w:spacing w:val="-5"/>
        </w:rPr>
        <w:t xml:space="preserve"> </w:t>
      </w:r>
      <w:r>
        <w:t>concern,</w:t>
      </w:r>
      <w:r>
        <w:rPr>
          <w:spacing w:val="-6"/>
        </w:rPr>
        <w:t xml:space="preserve"> </w:t>
      </w:r>
      <w:r>
        <w:t>pupil</w:t>
      </w:r>
      <w:r>
        <w:rPr>
          <w:spacing w:val="-2"/>
        </w:rPr>
        <w:t xml:space="preserve"> </w:t>
      </w:r>
      <w:r>
        <w:t>focus</w:t>
      </w:r>
      <w:r>
        <w:rPr>
          <w:spacing w:val="-4"/>
        </w:rPr>
        <w:t xml:space="preserve"> </w:t>
      </w:r>
      <w:r>
        <w:t>meetings</w:t>
      </w:r>
      <w:r>
        <w:rPr>
          <w:spacing w:val="-4"/>
        </w:rPr>
        <w:t xml:space="preserve"> </w:t>
      </w:r>
      <w:r>
        <w:t>such</w:t>
      </w:r>
      <w:r>
        <w:rPr>
          <w:spacing w:val="-6"/>
        </w:rPr>
        <w:t xml:space="preserve"> </w:t>
      </w:r>
      <w:r>
        <w:t>as</w:t>
      </w:r>
      <w:r>
        <w:rPr>
          <w:spacing w:val="-4"/>
        </w:rPr>
        <w:t xml:space="preserve"> </w:t>
      </w:r>
      <w:r>
        <w:t>‘Big</w:t>
      </w:r>
      <w:r>
        <w:rPr>
          <w:spacing w:val="-4"/>
        </w:rPr>
        <w:t xml:space="preserve"> </w:t>
      </w:r>
      <w:r>
        <w:t>Picture Meetings’ are held, to identify concerns and plan next steps.</w:t>
      </w:r>
    </w:p>
    <w:p>
      <w:pPr>
        <w:pStyle w:val="BodyText"/>
        <w:spacing w:before="159" w:line="259" w:lineRule="auto"/>
        <w:ind w:right="143"/>
      </w:pPr>
      <w:r>
        <w:t>Pupil Passports</w:t>
      </w:r>
      <w:r>
        <w:rPr>
          <w:spacing w:val="-3"/>
        </w:rPr>
        <w:t xml:space="preserve"> </w:t>
      </w:r>
      <w:r>
        <w:t>and</w:t>
      </w:r>
      <w:r>
        <w:rPr>
          <w:spacing w:val="-4"/>
        </w:rPr>
        <w:t xml:space="preserve"> </w:t>
      </w:r>
      <w:r>
        <w:t>Risk</w:t>
      </w:r>
      <w:r>
        <w:rPr>
          <w:spacing w:val="-4"/>
        </w:rPr>
        <w:t xml:space="preserve"> </w:t>
      </w:r>
      <w:r>
        <w:t>Assessments</w:t>
      </w:r>
      <w:r>
        <w:rPr>
          <w:spacing w:val="-2"/>
        </w:rPr>
        <w:t xml:space="preserve"> </w:t>
      </w:r>
      <w:r>
        <w:t>are</w:t>
      </w:r>
      <w:r>
        <w:rPr>
          <w:spacing w:val="-4"/>
        </w:rPr>
        <w:t xml:space="preserve"> </w:t>
      </w:r>
      <w:r>
        <w:t>updated</w:t>
      </w:r>
      <w:r>
        <w:rPr>
          <w:spacing w:val="-4"/>
        </w:rPr>
        <w:t xml:space="preserve"> </w:t>
      </w:r>
      <w:r>
        <w:t>on</w:t>
      </w:r>
      <w:r>
        <w:rPr>
          <w:spacing w:val="-4"/>
        </w:rPr>
        <w:t xml:space="preserve"> </w:t>
      </w:r>
      <w:r>
        <w:t>an</w:t>
      </w:r>
      <w:r>
        <w:rPr>
          <w:spacing w:val="-4"/>
        </w:rPr>
        <w:t xml:space="preserve"> </w:t>
      </w:r>
      <w:r>
        <w:t>ongoing</w:t>
      </w:r>
      <w:r>
        <w:rPr>
          <w:spacing w:val="-5"/>
        </w:rPr>
        <w:t xml:space="preserve"> </w:t>
      </w:r>
      <w:r>
        <w:t>basis</w:t>
      </w:r>
      <w:r>
        <w:rPr>
          <w:spacing w:val="-4"/>
        </w:rPr>
        <w:t xml:space="preserve"> </w:t>
      </w:r>
      <w:r>
        <w:t>and support is adjusted as required.</w:t>
      </w:r>
    </w:p>
    <w:p>
      <w:pPr>
        <w:pStyle w:val="BodyText"/>
        <w:spacing w:before="161" w:line="259" w:lineRule="auto"/>
        <w:ind w:right="228"/>
      </w:pPr>
      <w:r>
        <w:t>For pupils with an EHCP,</w:t>
      </w:r>
      <w:r>
        <w:rPr>
          <w:spacing w:val="-1"/>
        </w:rPr>
        <w:t xml:space="preserve"> </w:t>
      </w:r>
      <w:r>
        <w:t>progress towards outcomes is monitored through Annual</w:t>
      </w:r>
      <w:r>
        <w:rPr>
          <w:spacing w:val="-2"/>
        </w:rPr>
        <w:t xml:space="preserve"> </w:t>
      </w:r>
      <w:r>
        <w:t>Review</w:t>
      </w:r>
      <w:r>
        <w:rPr>
          <w:spacing w:val="-3"/>
        </w:rPr>
        <w:t xml:space="preserve"> </w:t>
      </w:r>
      <w:r>
        <w:t>and</w:t>
      </w:r>
      <w:r>
        <w:rPr>
          <w:spacing w:val="-6"/>
        </w:rPr>
        <w:t xml:space="preserve"> </w:t>
      </w:r>
      <w:r>
        <w:t>where</w:t>
      </w:r>
      <w:r>
        <w:rPr>
          <w:spacing w:val="-3"/>
        </w:rPr>
        <w:t xml:space="preserve"> </w:t>
      </w:r>
      <w:r>
        <w:t>necessary,</w:t>
      </w:r>
      <w:r>
        <w:rPr>
          <w:spacing w:val="-7"/>
        </w:rPr>
        <w:t xml:space="preserve"> </w:t>
      </w:r>
      <w:r>
        <w:t>Interim</w:t>
      </w:r>
      <w:r>
        <w:rPr>
          <w:spacing w:val="-3"/>
        </w:rPr>
        <w:t xml:space="preserve"> </w:t>
      </w:r>
      <w:r>
        <w:t>Reviews</w:t>
      </w:r>
      <w:r>
        <w:rPr>
          <w:spacing w:val="-5"/>
        </w:rPr>
        <w:t xml:space="preserve"> </w:t>
      </w:r>
      <w:r>
        <w:t>of</w:t>
      </w:r>
      <w:r>
        <w:rPr>
          <w:spacing w:val="-3"/>
        </w:rPr>
        <w:t xml:space="preserve"> </w:t>
      </w:r>
      <w:r>
        <w:t>the</w:t>
      </w:r>
      <w:r>
        <w:rPr>
          <w:spacing w:val="-3"/>
        </w:rPr>
        <w:t xml:space="preserve"> </w:t>
      </w:r>
      <w:r>
        <w:t>pupil’s</w:t>
      </w:r>
      <w:r>
        <w:rPr>
          <w:spacing w:val="-3"/>
        </w:rPr>
        <w:t xml:space="preserve"> </w:t>
      </w:r>
      <w:r>
        <w:t>EHCP. Annual and Interim Reviews are conducted in compliance with the SEN Code of Practice and guidance from the Swindon SEN Team.</w:t>
      </w:r>
    </w:p>
    <w:p>
      <w:pPr>
        <w:pStyle w:val="BodyText"/>
        <w:ind w:left="0"/>
      </w:pPr>
    </w:p>
    <w:p>
      <w:pPr>
        <w:pStyle w:val="BodyText"/>
        <w:spacing w:before="102"/>
        <w:ind w:left="0"/>
      </w:pPr>
    </w:p>
    <w:p>
      <w:pPr>
        <w:pStyle w:val="Heading1"/>
      </w:pPr>
      <w:r>
        <w:t>How</w:t>
      </w:r>
      <w:r>
        <w:rPr>
          <w:spacing w:val="-6"/>
        </w:rPr>
        <w:t xml:space="preserve"> </w:t>
      </w:r>
      <w:r>
        <w:t>are</w:t>
      </w:r>
      <w:r>
        <w:rPr>
          <w:spacing w:val="-5"/>
        </w:rPr>
        <w:t xml:space="preserve"> </w:t>
      </w:r>
      <w:r>
        <w:t>parents/carers</w:t>
      </w:r>
      <w:r>
        <w:rPr>
          <w:spacing w:val="-7"/>
        </w:rPr>
        <w:t xml:space="preserve"> </w:t>
      </w:r>
      <w:r>
        <w:rPr>
          <w:spacing w:val="-2"/>
        </w:rPr>
        <w:t>involved?</w:t>
      </w:r>
    </w:p>
    <w:p>
      <w:pPr>
        <w:pStyle w:val="BodyText"/>
        <w:spacing w:before="187" w:line="259" w:lineRule="auto"/>
        <w:ind w:right="228"/>
      </w:pPr>
      <w:r>
        <w:t>Parents/carers are fully involved in the induction process.</w:t>
      </w:r>
      <w:r>
        <w:rPr>
          <w:spacing w:val="40"/>
        </w:rPr>
        <w:t xml:space="preserve"> </w:t>
      </w:r>
      <w:r>
        <w:t>Parents/carers’ views are sought on their child’s strengths and needs and how best to support</w:t>
      </w:r>
      <w:r>
        <w:rPr>
          <w:spacing w:val="-6"/>
        </w:rPr>
        <w:t xml:space="preserve"> </w:t>
      </w:r>
      <w:r>
        <w:t>them</w:t>
      </w:r>
      <w:r>
        <w:rPr>
          <w:spacing w:val="-2"/>
        </w:rPr>
        <w:t xml:space="preserve"> </w:t>
      </w:r>
      <w:r>
        <w:t>and</w:t>
      </w:r>
      <w:r>
        <w:rPr>
          <w:spacing w:val="-4"/>
        </w:rPr>
        <w:t xml:space="preserve"> </w:t>
      </w:r>
      <w:r>
        <w:t>their</w:t>
      </w:r>
      <w:r>
        <w:rPr>
          <w:spacing w:val="-4"/>
        </w:rPr>
        <w:t xml:space="preserve"> </w:t>
      </w:r>
      <w:r>
        <w:t>aspirations</w:t>
      </w:r>
      <w:r>
        <w:rPr>
          <w:spacing w:val="-4"/>
        </w:rPr>
        <w:t xml:space="preserve"> </w:t>
      </w:r>
      <w:r>
        <w:t>for</w:t>
      </w:r>
      <w:r>
        <w:rPr>
          <w:spacing w:val="-2"/>
        </w:rPr>
        <w:t xml:space="preserve"> </w:t>
      </w:r>
      <w:r>
        <w:t>their</w:t>
      </w:r>
      <w:r>
        <w:rPr>
          <w:spacing w:val="-4"/>
        </w:rPr>
        <w:t xml:space="preserve"> </w:t>
      </w:r>
      <w:r>
        <w:t>child.</w:t>
      </w:r>
      <w:r>
        <w:rPr>
          <w:spacing w:val="40"/>
        </w:rPr>
        <w:t xml:space="preserve"> </w:t>
      </w:r>
      <w:r>
        <w:t>Information</w:t>
      </w:r>
      <w:r>
        <w:rPr>
          <w:spacing w:val="-2"/>
        </w:rPr>
        <w:t xml:space="preserve"> </w:t>
      </w:r>
      <w:r>
        <w:t>about</w:t>
      </w:r>
      <w:r>
        <w:rPr>
          <w:spacing w:val="-8"/>
        </w:rPr>
        <w:t xml:space="preserve"> </w:t>
      </w:r>
      <w:r>
        <w:t>medical needs and safeguarding information is also gathered.</w:t>
      </w:r>
    </w:p>
    <w:p>
      <w:pPr>
        <w:pStyle w:val="BodyText"/>
        <w:spacing w:before="159" w:line="259" w:lineRule="auto"/>
        <w:ind w:right="143"/>
      </w:pPr>
      <w:r>
        <w:t>Parents/carers</w:t>
      </w:r>
      <w:r>
        <w:rPr>
          <w:spacing w:val="-3"/>
        </w:rPr>
        <w:t xml:space="preserve"> </w:t>
      </w:r>
      <w:r>
        <w:t>are</w:t>
      </w:r>
      <w:r>
        <w:rPr>
          <w:spacing w:val="-3"/>
        </w:rPr>
        <w:t xml:space="preserve"> </w:t>
      </w:r>
      <w:r>
        <w:t>involved in</w:t>
      </w:r>
      <w:r>
        <w:rPr>
          <w:spacing w:val="-6"/>
        </w:rPr>
        <w:t xml:space="preserve"> </w:t>
      </w:r>
      <w:r>
        <w:t>termly</w:t>
      </w:r>
      <w:r>
        <w:rPr>
          <w:spacing w:val="-5"/>
        </w:rPr>
        <w:t xml:space="preserve"> </w:t>
      </w:r>
      <w:r>
        <w:t>review</w:t>
      </w:r>
      <w:r>
        <w:rPr>
          <w:spacing w:val="-4"/>
        </w:rPr>
        <w:t xml:space="preserve"> </w:t>
      </w:r>
      <w:r>
        <w:t>meetings,</w:t>
      </w:r>
      <w:r>
        <w:rPr>
          <w:spacing w:val="-5"/>
        </w:rPr>
        <w:t xml:space="preserve"> </w:t>
      </w:r>
      <w:r>
        <w:t>where</w:t>
      </w:r>
      <w:r>
        <w:rPr>
          <w:spacing w:val="-3"/>
        </w:rPr>
        <w:t xml:space="preserve"> </w:t>
      </w:r>
      <w:r>
        <w:t>the</w:t>
      </w:r>
      <w:r>
        <w:rPr>
          <w:spacing w:val="-3"/>
        </w:rPr>
        <w:t xml:space="preserve"> </w:t>
      </w:r>
      <w:r>
        <w:t>pupil’s progress in all areas is discussed and support is adjusted.</w:t>
      </w:r>
    </w:p>
    <w:p>
      <w:pPr>
        <w:pStyle w:val="BodyText"/>
        <w:spacing w:before="159" w:line="259" w:lineRule="auto"/>
        <w:ind w:right="143"/>
      </w:pPr>
      <w:r>
        <w:t>Parents/carers are involved in TAC/CHiN/CP/PEP meetings as appropriate. Parental</w:t>
      </w:r>
      <w:r>
        <w:rPr>
          <w:spacing w:val="-1"/>
        </w:rPr>
        <w:t xml:space="preserve"> </w:t>
      </w:r>
      <w:r>
        <w:t>consent</w:t>
      </w:r>
      <w:r>
        <w:rPr>
          <w:spacing w:val="-8"/>
        </w:rPr>
        <w:t xml:space="preserve"> </w:t>
      </w:r>
      <w:r>
        <w:t>is</w:t>
      </w:r>
      <w:r>
        <w:rPr>
          <w:spacing w:val="-3"/>
        </w:rPr>
        <w:t xml:space="preserve"> </w:t>
      </w:r>
      <w:r>
        <w:t>sought</w:t>
      </w:r>
      <w:r>
        <w:rPr>
          <w:spacing w:val="-5"/>
        </w:rPr>
        <w:t xml:space="preserve"> </w:t>
      </w:r>
      <w:r>
        <w:t>for</w:t>
      </w:r>
      <w:r>
        <w:rPr>
          <w:spacing w:val="-3"/>
        </w:rPr>
        <w:t xml:space="preserve"> </w:t>
      </w:r>
      <w:r>
        <w:t>all</w:t>
      </w:r>
      <w:r>
        <w:rPr>
          <w:spacing w:val="-1"/>
        </w:rPr>
        <w:t xml:space="preserve"> </w:t>
      </w:r>
      <w:r>
        <w:t>referrals</w:t>
      </w:r>
      <w:r>
        <w:rPr>
          <w:spacing w:val="-7"/>
        </w:rPr>
        <w:t xml:space="preserve"> </w:t>
      </w:r>
      <w:r>
        <w:t>to</w:t>
      </w:r>
      <w:r>
        <w:rPr>
          <w:spacing w:val="-2"/>
        </w:rPr>
        <w:t xml:space="preserve"> </w:t>
      </w:r>
      <w:r>
        <w:t>outside</w:t>
      </w:r>
      <w:r>
        <w:rPr>
          <w:spacing w:val="-3"/>
        </w:rPr>
        <w:t xml:space="preserve"> </w:t>
      </w:r>
      <w:r>
        <w:t>agencies.</w:t>
      </w:r>
      <w:r>
        <w:rPr>
          <w:spacing w:val="40"/>
        </w:rPr>
        <w:t xml:space="preserve"> </w:t>
      </w:r>
      <w:r>
        <w:t>Parental views will be sought as part of any assessment process and parents will sometimes be invited to meetings with the professionals.</w:t>
      </w:r>
    </w:p>
    <w:p>
      <w:pPr>
        <w:pStyle w:val="BodyText"/>
        <w:spacing w:before="159" w:line="259" w:lineRule="auto"/>
        <w:ind w:right="143"/>
      </w:pPr>
      <w:r>
        <w:t>For pupils with an EHCP, parents/carers will be invited to an Annual Review meeting</w:t>
      </w:r>
      <w:r>
        <w:rPr>
          <w:spacing w:val="-3"/>
        </w:rPr>
        <w:t xml:space="preserve"> </w:t>
      </w:r>
      <w:r>
        <w:t>where</w:t>
      </w:r>
      <w:r>
        <w:rPr>
          <w:spacing w:val="-2"/>
        </w:rPr>
        <w:t xml:space="preserve"> </w:t>
      </w:r>
      <w:r>
        <w:t>the</w:t>
      </w:r>
      <w:r>
        <w:rPr>
          <w:spacing w:val="-2"/>
        </w:rPr>
        <w:t xml:space="preserve"> </w:t>
      </w:r>
      <w:r>
        <w:t>EHCP</w:t>
      </w:r>
      <w:r>
        <w:rPr>
          <w:spacing w:val="-2"/>
        </w:rPr>
        <w:t xml:space="preserve"> </w:t>
      </w:r>
      <w:r>
        <w:t>will be</w:t>
      </w:r>
      <w:r>
        <w:rPr>
          <w:spacing w:val="-5"/>
        </w:rPr>
        <w:t xml:space="preserve"> </w:t>
      </w:r>
      <w:r>
        <w:t>fully</w:t>
      </w:r>
      <w:r>
        <w:rPr>
          <w:spacing w:val="-4"/>
        </w:rPr>
        <w:t xml:space="preserve"> </w:t>
      </w:r>
      <w:r>
        <w:t>reviewed</w:t>
      </w:r>
      <w:r>
        <w:rPr>
          <w:spacing w:val="-4"/>
        </w:rPr>
        <w:t xml:space="preserve"> </w:t>
      </w:r>
      <w:r>
        <w:t>and</w:t>
      </w:r>
      <w:r>
        <w:rPr>
          <w:spacing w:val="-2"/>
        </w:rPr>
        <w:t xml:space="preserve"> </w:t>
      </w:r>
      <w:r>
        <w:t>recommendations</w:t>
      </w:r>
      <w:r>
        <w:rPr>
          <w:spacing w:val="-2"/>
        </w:rPr>
        <w:t xml:space="preserve"> </w:t>
      </w:r>
      <w:r>
        <w:t>for the coming year made.</w:t>
      </w:r>
      <w:r>
        <w:rPr>
          <w:spacing w:val="40"/>
        </w:rPr>
        <w:t xml:space="preserve"> </w:t>
      </w:r>
      <w:r>
        <w:t>Sometimes, parents/carers will be invited to an Interim Review</w:t>
      </w:r>
      <w:r>
        <w:rPr>
          <w:spacing w:val="-3"/>
        </w:rPr>
        <w:t xml:space="preserve"> </w:t>
      </w:r>
      <w:r>
        <w:t>meeting,</w:t>
      </w:r>
      <w:r>
        <w:rPr>
          <w:spacing w:val="-5"/>
        </w:rPr>
        <w:t xml:space="preserve"> </w:t>
      </w:r>
      <w:r>
        <w:t>where</w:t>
      </w:r>
      <w:r>
        <w:rPr>
          <w:spacing w:val="-3"/>
        </w:rPr>
        <w:t xml:space="preserve"> </w:t>
      </w:r>
      <w:r>
        <w:t>it</w:t>
      </w:r>
      <w:r>
        <w:rPr>
          <w:spacing w:val="-7"/>
        </w:rPr>
        <w:t xml:space="preserve"> </w:t>
      </w:r>
      <w:r>
        <w:t>is</w:t>
      </w:r>
      <w:r>
        <w:rPr>
          <w:spacing w:val="-3"/>
        </w:rPr>
        <w:t xml:space="preserve"> </w:t>
      </w:r>
      <w:r>
        <w:t>felt</w:t>
      </w:r>
      <w:r>
        <w:rPr>
          <w:spacing w:val="-5"/>
        </w:rPr>
        <w:t xml:space="preserve"> </w:t>
      </w:r>
      <w:r>
        <w:t>that</w:t>
      </w:r>
      <w:r>
        <w:rPr>
          <w:spacing w:val="-3"/>
        </w:rPr>
        <w:t xml:space="preserve"> </w:t>
      </w:r>
      <w:r>
        <w:t>the</w:t>
      </w:r>
      <w:r>
        <w:rPr>
          <w:spacing w:val="-3"/>
        </w:rPr>
        <w:t xml:space="preserve"> </w:t>
      </w:r>
      <w:r>
        <w:t>placement</w:t>
      </w:r>
      <w:r>
        <w:rPr>
          <w:spacing w:val="-7"/>
        </w:rPr>
        <w:t xml:space="preserve"> </w:t>
      </w:r>
      <w:r>
        <w:t>or</w:t>
      </w:r>
      <w:r>
        <w:rPr>
          <w:spacing w:val="-4"/>
        </w:rPr>
        <w:t xml:space="preserve"> </w:t>
      </w:r>
      <w:r>
        <w:t>provision</w:t>
      </w:r>
      <w:r>
        <w:rPr>
          <w:spacing w:val="-3"/>
        </w:rPr>
        <w:t xml:space="preserve"> </w:t>
      </w:r>
      <w:r>
        <w:t>for</w:t>
      </w:r>
      <w:r>
        <w:rPr>
          <w:spacing w:val="-1"/>
        </w:rPr>
        <w:t xml:space="preserve"> </w:t>
      </w:r>
      <w:r>
        <w:t>the</w:t>
      </w:r>
      <w:r>
        <w:rPr>
          <w:spacing w:val="-3"/>
        </w:rPr>
        <w:t xml:space="preserve"> </w:t>
      </w:r>
      <w:r>
        <w:t>pupil is not effective or there are significant concerns about a pupil’s needs.</w:t>
      </w:r>
    </w:p>
    <w:p>
      <w:pPr>
        <w:pStyle w:val="BodyText"/>
        <w:ind w:left="0"/>
      </w:pPr>
    </w:p>
    <w:p>
      <w:pPr>
        <w:pStyle w:val="BodyText"/>
        <w:spacing w:before="48"/>
        <w:ind w:left="0"/>
      </w:pPr>
    </w:p>
    <w:p>
      <w:pPr>
        <w:pStyle w:val="Heading1"/>
        <w:spacing w:before="1"/>
      </w:pPr>
      <w:r>
        <w:t>How</w:t>
      </w:r>
      <w:r>
        <w:rPr>
          <w:spacing w:val="-7"/>
        </w:rPr>
        <w:t xml:space="preserve"> </w:t>
      </w:r>
      <w:r>
        <w:t>are</w:t>
      </w:r>
      <w:r>
        <w:rPr>
          <w:spacing w:val="-4"/>
        </w:rPr>
        <w:t xml:space="preserve"> </w:t>
      </w:r>
      <w:r>
        <w:t>pupils</w:t>
      </w:r>
      <w:r>
        <w:rPr>
          <w:spacing w:val="-5"/>
        </w:rPr>
        <w:t xml:space="preserve"> </w:t>
      </w:r>
      <w:r>
        <w:t>involved?</w:t>
      </w:r>
      <w:r>
        <w:rPr>
          <w:spacing w:val="-5"/>
        </w:rPr>
        <w:t xml:space="preserve"> </w:t>
      </w:r>
      <w:r>
        <w:t>How</w:t>
      </w:r>
      <w:r>
        <w:rPr>
          <w:spacing w:val="-5"/>
        </w:rPr>
        <w:t xml:space="preserve"> </w:t>
      </w:r>
      <w:r>
        <w:t>are</w:t>
      </w:r>
      <w:r>
        <w:rPr>
          <w:spacing w:val="-6"/>
        </w:rPr>
        <w:t xml:space="preserve"> </w:t>
      </w:r>
      <w:r>
        <w:t>pupils’</w:t>
      </w:r>
      <w:r>
        <w:rPr>
          <w:spacing w:val="-3"/>
        </w:rPr>
        <w:t xml:space="preserve"> </w:t>
      </w:r>
      <w:r>
        <w:t>views</w:t>
      </w:r>
      <w:r>
        <w:rPr>
          <w:spacing w:val="-5"/>
        </w:rPr>
        <w:t xml:space="preserve"> </w:t>
      </w:r>
      <w:r>
        <w:rPr>
          <w:spacing w:val="-2"/>
        </w:rPr>
        <w:t>sought?</w:t>
      </w:r>
    </w:p>
    <w:p>
      <w:pPr>
        <w:pStyle w:val="BodyText"/>
        <w:spacing w:before="186" w:line="259" w:lineRule="auto"/>
        <w:ind w:right="492"/>
      </w:pPr>
      <w:r>
        <w:t>As part</w:t>
      </w:r>
      <w:r>
        <w:rPr>
          <w:spacing w:val="-1"/>
        </w:rPr>
        <w:t xml:space="preserve"> </w:t>
      </w:r>
      <w:r>
        <w:t>of the induction process, pupils’ views are sought</w:t>
      </w:r>
      <w:r>
        <w:rPr>
          <w:spacing w:val="-1"/>
        </w:rPr>
        <w:t xml:space="preserve"> </w:t>
      </w:r>
      <w:r>
        <w:t>on their interests, their</w:t>
      </w:r>
      <w:r>
        <w:rPr>
          <w:spacing w:val="-3"/>
        </w:rPr>
        <w:t xml:space="preserve"> </w:t>
      </w:r>
      <w:r>
        <w:t>strengths</w:t>
      </w:r>
      <w:r>
        <w:rPr>
          <w:spacing w:val="-3"/>
        </w:rPr>
        <w:t xml:space="preserve"> </w:t>
      </w:r>
      <w:r>
        <w:t>and</w:t>
      </w:r>
      <w:r>
        <w:rPr>
          <w:spacing w:val="-3"/>
        </w:rPr>
        <w:t xml:space="preserve"> </w:t>
      </w:r>
      <w:r>
        <w:t>needs</w:t>
      </w:r>
      <w:r>
        <w:rPr>
          <w:spacing w:val="-3"/>
        </w:rPr>
        <w:t xml:space="preserve"> </w:t>
      </w:r>
      <w:r>
        <w:t>and</w:t>
      </w:r>
      <w:r>
        <w:rPr>
          <w:spacing w:val="-3"/>
        </w:rPr>
        <w:t xml:space="preserve"> </w:t>
      </w:r>
      <w:r>
        <w:t>how</w:t>
      </w:r>
      <w:r>
        <w:rPr>
          <w:spacing w:val="-2"/>
        </w:rPr>
        <w:t xml:space="preserve"> </w:t>
      </w:r>
      <w:r>
        <w:t>best</w:t>
      </w:r>
      <w:r>
        <w:rPr>
          <w:spacing w:val="-5"/>
        </w:rPr>
        <w:t xml:space="preserve"> </w:t>
      </w:r>
      <w:r>
        <w:t>to</w:t>
      </w:r>
      <w:r>
        <w:rPr>
          <w:spacing w:val="-5"/>
        </w:rPr>
        <w:t xml:space="preserve"> </w:t>
      </w:r>
      <w:r>
        <w:t>support</w:t>
      </w:r>
      <w:r>
        <w:rPr>
          <w:spacing w:val="-5"/>
        </w:rPr>
        <w:t xml:space="preserve"> </w:t>
      </w:r>
      <w:r>
        <w:t>them.</w:t>
      </w:r>
      <w:r>
        <w:rPr>
          <w:spacing w:val="40"/>
        </w:rPr>
        <w:t xml:space="preserve"> </w:t>
      </w:r>
      <w:r>
        <w:t>Tools</w:t>
      </w:r>
      <w:r>
        <w:rPr>
          <w:spacing w:val="-3"/>
        </w:rPr>
        <w:t xml:space="preserve"> </w:t>
      </w:r>
      <w:r>
        <w:t>such</w:t>
      </w:r>
      <w:r>
        <w:rPr>
          <w:spacing w:val="-3"/>
        </w:rPr>
        <w:t xml:space="preserve"> </w:t>
      </w:r>
      <w:r>
        <w:t>as</w:t>
      </w:r>
      <w:r>
        <w:rPr>
          <w:spacing w:val="-5"/>
        </w:rPr>
        <w:t xml:space="preserve"> </w:t>
      </w:r>
      <w:r>
        <w:t>the ‘Multi-element plan’ are used to support pupils to share their views.</w:t>
      </w:r>
      <w:r>
        <w:rPr>
          <w:spacing w:val="40"/>
        </w:rPr>
        <w:t xml:space="preserve"> </w:t>
      </w:r>
      <w:r>
        <w:t>Pupils</w:t>
      </w:r>
    </w:p>
    <w:p>
      <w:pPr>
        <w:pStyle w:val="BodyText"/>
        <w:spacing w:line="294" w:lineRule="exact"/>
      </w:pPr>
      <w:r>
        <w:t>also</w:t>
      </w:r>
      <w:r>
        <w:rPr>
          <w:spacing w:val="-4"/>
        </w:rPr>
        <w:t xml:space="preserve"> </w:t>
      </w:r>
      <w:r>
        <w:t>complete</w:t>
      </w:r>
      <w:r>
        <w:rPr>
          <w:spacing w:val="-2"/>
        </w:rPr>
        <w:t xml:space="preserve"> </w:t>
      </w:r>
      <w:r>
        <w:t>a</w:t>
      </w:r>
      <w:r>
        <w:rPr>
          <w:spacing w:val="-3"/>
        </w:rPr>
        <w:t xml:space="preserve"> </w:t>
      </w:r>
      <w:r>
        <w:t>PASS</w:t>
      </w:r>
      <w:r>
        <w:rPr>
          <w:spacing w:val="-3"/>
        </w:rPr>
        <w:t xml:space="preserve"> </w:t>
      </w:r>
      <w:r>
        <w:t>assessment,</w:t>
      </w:r>
      <w:r>
        <w:rPr>
          <w:spacing w:val="-4"/>
        </w:rPr>
        <w:t xml:space="preserve"> </w:t>
      </w:r>
      <w:r>
        <w:t>which</w:t>
      </w:r>
      <w:r>
        <w:rPr>
          <w:spacing w:val="-2"/>
        </w:rPr>
        <w:t xml:space="preserve"> </w:t>
      </w:r>
      <w:r>
        <w:t>is</w:t>
      </w:r>
      <w:r>
        <w:rPr>
          <w:spacing w:val="-2"/>
        </w:rPr>
        <w:t xml:space="preserve"> </w:t>
      </w:r>
      <w:r>
        <w:t>completed</w:t>
      </w:r>
      <w:r>
        <w:rPr>
          <w:spacing w:val="-3"/>
        </w:rPr>
        <w:t xml:space="preserve"> </w:t>
      </w:r>
      <w:r>
        <w:t>online</w:t>
      </w:r>
      <w:r>
        <w:rPr>
          <w:spacing w:val="-4"/>
        </w:rPr>
        <w:t xml:space="preserve"> </w:t>
      </w:r>
      <w:r>
        <w:t>and</w:t>
      </w:r>
      <w:r>
        <w:rPr>
          <w:spacing w:val="-2"/>
        </w:rPr>
        <w:t xml:space="preserve"> </w:t>
      </w:r>
      <w:r>
        <w:t>asks</w:t>
      </w:r>
      <w:r>
        <w:rPr>
          <w:spacing w:val="-2"/>
        </w:rPr>
        <w:t xml:space="preserve"> pupils</w:t>
      </w:r>
    </w:p>
    <w:p>
      <w:pPr>
        <w:spacing w:line="294" w:lineRule="exact"/>
        <w:sectPr>
          <w:pgSz w:w="11910" w:h="16840"/>
          <w:pgMar w:top="1840" w:right="1320" w:bottom="280" w:left="1340" w:header="708" w:footer="0" w:gutter="0"/>
          <w:cols w:space="720"/>
        </w:sectPr>
      </w:pPr>
    </w:p>
    <w:p>
      <w:pPr>
        <w:pStyle w:val="BodyText"/>
        <w:spacing w:before="90" w:line="259" w:lineRule="auto"/>
        <w:ind w:right="143"/>
      </w:pPr>
      <w:r>
        <w:lastRenderedPageBreak/>
        <w:t>about their attitudes to themselves and school.</w:t>
      </w:r>
      <w:r>
        <w:rPr>
          <w:spacing w:val="40"/>
        </w:rPr>
        <w:t xml:space="preserve"> </w:t>
      </w:r>
      <w:r>
        <w:t>Pupils’ views feed into the Pupil Passport</w:t>
      </w:r>
      <w:r>
        <w:rPr>
          <w:spacing w:val="-9"/>
        </w:rPr>
        <w:t xml:space="preserve"> </w:t>
      </w:r>
      <w:r>
        <w:t>and</w:t>
      </w:r>
      <w:r>
        <w:rPr>
          <w:spacing w:val="-5"/>
        </w:rPr>
        <w:t xml:space="preserve"> </w:t>
      </w:r>
      <w:r>
        <w:t>Individual</w:t>
      </w:r>
      <w:r>
        <w:rPr>
          <w:spacing w:val="-2"/>
        </w:rPr>
        <w:t xml:space="preserve"> </w:t>
      </w:r>
      <w:r>
        <w:t>Risk</w:t>
      </w:r>
      <w:r>
        <w:rPr>
          <w:spacing w:val="-4"/>
        </w:rPr>
        <w:t xml:space="preserve"> </w:t>
      </w:r>
      <w:r>
        <w:t>Assessment,</w:t>
      </w:r>
      <w:r>
        <w:rPr>
          <w:spacing w:val="-6"/>
        </w:rPr>
        <w:t xml:space="preserve"> </w:t>
      </w:r>
      <w:r>
        <w:t>which</w:t>
      </w:r>
      <w:r>
        <w:rPr>
          <w:spacing w:val="-4"/>
        </w:rPr>
        <w:t xml:space="preserve"> </w:t>
      </w:r>
      <w:r>
        <w:t>are</w:t>
      </w:r>
      <w:r>
        <w:rPr>
          <w:spacing w:val="-4"/>
        </w:rPr>
        <w:t xml:space="preserve"> </w:t>
      </w:r>
      <w:r>
        <w:t>shared</w:t>
      </w:r>
      <w:r>
        <w:rPr>
          <w:spacing w:val="-5"/>
        </w:rPr>
        <w:t xml:space="preserve"> </w:t>
      </w:r>
      <w:r>
        <w:t>with</w:t>
      </w:r>
      <w:r>
        <w:rPr>
          <w:spacing w:val="-4"/>
        </w:rPr>
        <w:t xml:space="preserve"> </w:t>
      </w:r>
      <w:r>
        <w:t>all</w:t>
      </w:r>
      <w:r>
        <w:rPr>
          <w:spacing w:val="-2"/>
        </w:rPr>
        <w:t xml:space="preserve"> </w:t>
      </w:r>
      <w:r>
        <w:t>staff.</w:t>
      </w:r>
    </w:p>
    <w:p>
      <w:pPr>
        <w:pStyle w:val="BodyText"/>
        <w:spacing w:before="159" w:line="259" w:lineRule="auto"/>
        <w:ind w:right="143"/>
      </w:pPr>
      <w:r>
        <w:t>Pupils attend termly pupil review meetings, where their views are sought about</w:t>
      </w:r>
      <w:r>
        <w:rPr>
          <w:spacing w:val="-5"/>
        </w:rPr>
        <w:t xml:space="preserve"> </w:t>
      </w:r>
      <w:r>
        <w:t>their</w:t>
      </w:r>
      <w:r>
        <w:rPr>
          <w:spacing w:val="-3"/>
        </w:rPr>
        <w:t xml:space="preserve"> </w:t>
      </w:r>
      <w:r>
        <w:t>progress,</w:t>
      </w:r>
      <w:r>
        <w:rPr>
          <w:spacing w:val="-5"/>
        </w:rPr>
        <w:t xml:space="preserve"> </w:t>
      </w:r>
      <w:r>
        <w:t>what</w:t>
      </w:r>
      <w:r>
        <w:rPr>
          <w:spacing w:val="-7"/>
        </w:rPr>
        <w:t xml:space="preserve"> </w:t>
      </w:r>
      <w:r>
        <w:t>has</w:t>
      </w:r>
      <w:r>
        <w:rPr>
          <w:spacing w:val="-3"/>
        </w:rPr>
        <w:t xml:space="preserve"> </w:t>
      </w:r>
      <w:r>
        <w:t>helped</w:t>
      </w:r>
      <w:r>
        <w:rPr>
          <w:spacing w:val="-5"/>
        </w:rPr>
        <w:t xml:space="preserve"> </w:t>
      </w:r>
      <w:r>
        <w:t>them</w:t>
      </w:r>
      <w:r>
        <w:rPr>
          <w:spacing w:val="-2"/>
        </w:rPr>
        <w:t xml:space="preserve"> </w:t>
      </w:r>
      <w:r>
        <w:t>and</w:t>
      </w:r>
      <w:r>
        <w:rPr>
          <w:spacing w:val="-4"/>
        </w:rPr>
        <w:t xml:space="preserve"> </w:t>
      </w:r>
      <w:r>
        <w:t>what</w:t>
      </w:r>
      <w:r>
        <w:rPr>
          <w:spacing w:val="-7"/>
        </w:rPr>
        <w:t xml:space="preserve"> </w:t>
      </w:r>
      <w:r>
        <w:t>would</w:t>
      </w:r>
      <w:r>
        <w:rPr>
          <w:spacing w:val="-4"/>
        </w:rPr>
        <w:t xml:space="preserve"> </w:t>
      </w:r>
      <w:r>
        <w:t>support</w:t>
      </w:r>
      <w:r>
        <w:rPr>
          <w:spacing w:val="-5"/>
        </w:rPr>
        <w:t xml:space="preserve"> </w:t>
      </w:r>
      <w:r>
        <w:t>them moving forwards.</w:t>
      </w:r>
    </w:p>
    <w:p>
      <w:pPr>
        <w:pStyle w:val="BodyText"/>
        <w:spacing w:before="158" w:line="259" w:lineRule="auto"/>
        <w:ind w:right="143"/>
      </w:pPr>
      <w:r>
        <w:t>Where</w:t>
      </w:r>
      <w:r>
        <w:rPr>
          <w:spacing w:val="-1"/>
        </w:rPr>
        <w:t xml:space="preserve"> </w:t>
      </w:r>
      <w:r>
        <w:t>there</w:t>
      </w:r>
      <w:r>
        <w:rPr>
          <w:spacing w:val="-3"/>
        </w:rPr>
        <w:t xml:space="preserve"> </w:t>
      </w:r>
      <w:r>
        <w:t>are</w:t>
      </w:r>
      <w:r>
        <w:rPr>
          <w:spacing w:val="-3"/>
        </w:rPr>
        <w:t xml:space="preserve"> </w:t>
      </w:r>
      <w:r>
        <w:t>concerns</w:t>
      </w:r>
      <w:r>
        <w:rPr>
          <w:spacing w:val="-3"/>
        </w:rPr>
        <w:t xml:space="preserve"> </w:t>
      </w:r>
      <w:r>
        <w:t>that</w:t>
      </w:r>
      <w:r>
        <w:rPr>
          <w:spacing w:val="-3"/>
        </w:rPr>
        <w:t xml:space="preserve"> </w:t>
      </w:r>
      <w:r>
        <w:t>things</w:t>
      </w:r>
      <w:r>
        <w:rPr>
          <w:spacing w:val="-3"/>
        </w:rPr>
        <w:t xml:space="preserve"> </w:t>
      </w:r>
      <w:r>
        <w:t>are</w:t>
      </w:r>
      <w:r>
        <w:rPr>
          <w:spacing w:val="-1"/>
        </w:rPr>
        <w:t xml:space="preserve"> </w:t>
      </w:r>
      <w:r>
        <w:t>not</w:t>
      </w:r>
      <w:r>
        <w:rPr>
          <w:spacing w:val="-8"/>
        </w:rPr>
        <w:t xml:space="preserve"> </w:t>
      </w:r>
      <w:r>
        <w:t>working</w:t>
      </w:r>
      <w:r>
        <w:rPr>
          <w:spacing w:val="-4"/>
        </w:rPr>
        <w:t xml:space="preserve"> </w:t>
      </w:r>
      <w:r>
        <w:t>well</w:t>
      </w:r>
      <w:r>
        <w:rPr>
          <w:spacing w:val="-1"/>
        </w:rPr>
        <w:t xml:space="preserve"> </w:t>
      </w:r>
      <w:r>
        <w:t>for</w:t>
      </w:r>
      <w:r>
        <w:rPr>
          <w:spacing w:val="-5"/>
        </w:rPr>
        <w:t xml:space="preserve"> </w:t>
      </w:r>
      <w:r>
        <w:t>a</w:t>
      </w:r>
      <w:r>
        <w:rPr>
          <w:spacing w:val="-4"/>
        </w:rPr>
        <w:t xml:space="preserve"> </w:t>
      </w:r>
      <w:r>
        <w:t>pupil,</w:t>
      </w:r>
      <w:r>
        <w:rPr>
          <w:spacing w:val="-2"/>
        </w:rPr>
        <w:t xml:space="preserve"> </w:t>
      </w:r>
      <w:r>
        <w:t>their views are sought, using tools such as the Multi-element plan, in order that support can be adjusted.</w:t>
      </w:r>
    </w:p>
    <w:p>
      <w:pPr>
        <w:pStyle w:val="BodyText"/>
        <w:spacing w:before="160" w:line="259" w:lineRule="auto"/>
        <w:ind w:right="143"/>
      </w:pPr>
      <w:r>
        <w:t>Where there is a TAC/CHiN/CP/PEP held for a pupil, the pupil is invited to attend</w:t>
      </w:r>
      <w:r>
        <w:rPr>
          <w:spacing w:val="-6"/>
        </w:rPr>
        <w:t xml:space="preserve"> </w:t>
      </w:r>
      <w:r>
        <w:t>where</w:t>
      </w:r>
      <w:r>
        <w:rPr>
          <w:spacing w:val="-3"/>
        </w:rPr>
        <w:t xml:space="preserve"> </w:t>
      </w:r>
      <w:r>
        <w:t>appropriate</w:t>
      </w:r>
      <w:r>
        <w:rPr>
          <w:spacing w:val="-3"/>
        </w:rPr>
        <w:t xml:space="preserve"> </w:t>
      </w:r>
      <w:r>
        <w:t>and their</w:t>
      </w:r>
      <w:r>
        <w:rPr>
          <w:spacing w:val="-3"/>
        </w:rPr>
        <w:t xml:space="preserve"> </w:t>
      </w:r>
      <w:r>
        <w:t>views</w:t>
      </w:r>
      <w:r>
        <w:rPr>
          <w:spacing w:val="-4"/>
        </w:rPr>
        <w:t xml:space="preserve"> </w:t>
      </w:r>
      <w:r>
        <w:t>are</w:t>
      </w:r>
      <w:r>
        <w:rPr>
          <w:spacing w:val="-3"/>
        </w:rPr>
        <w:t xml:space="preserve"> </w:t>
      </w:r>
      <w:r>
        <w:t>sought</w:t>
      </w:r>
      <w:r>
        <w:rPr>
          <w:spacing w:val="-8"/>
        </w:rPr>
        <w:t xml:space="preserve"> </w:t>
      </w:r>
      <w:r>
        <w:t>as</w:t>
      </w:r>
      <w:r>
        <w:rPr>
          <w:spacing w:val="-3"/>
        </w:rPr>
        <w:t xml:space="preserve"> </w:t>
      </w:r>
      <w:r>
        <w:t>part</w:t>
      </w:r>
      <w:r>
        <w:rPr>
          <w:spacing w:val="-3"/>
        </w:rPr>
        <w:t xml:space="preserve"> </w:t>
      </w:r>
      <w:r>
        <w:t>of</w:t>
      </w:r>
      <w:r>
        <w:rPr>
          <w:spacing w:val="-2"/>
        </w:rPr>
        <w:t xml:space="preserve"> </w:t>
      </w:r>
      <w:r>
        <w:t>the</w:t>
      </w:r>
      <w:r>
        <w:rPr>
          <w:spacing w:val="-3"/>
        </w:rPr>
        <w:t xml:space="preserve"> </w:t>
      </w:r>
      <w:r>
        <w:rPr>
          <w:spacing w:val="-2"/>
        </w:rPr>
        <w:t>review.</w:t>
      </w:r>
    </w:p>
    <w:p>
      <w:pPr>
        <w:pStyle w:val="BodyText"/>
        <w:spacing w:before="159" w:line="259" w:lineRule="auto"/>
        <w:ind w:right="228"/>
      </w:pPr>
      <w:r>
        <w:t>Pupils</w:t>
      </w:r>
      <w:r>
        <w:rPr>
          <w:spacing w:val="-5"/>
        </w:rPr>
        <w:t xml:space="preserve"> </w:t>
      </w:r>
      <w:r>
        <w:t>with</w:t>
      </w:r>
      <w:r>
        <w:rPr>
          <w:spacing w:val="-3"/>
        </w:rPr>
        <w:t xml:space="preserve"> </w:t>
      </w:r>
      <w:r>
        <w:t>an</w:t>
      </w:r>
      <w:r>
        <w:rPr>
          <w:spacing w:val="-3"/>
        </w:rPr>
        <w:t xml:space="preserve"> </w:t>
      </w:r>
      <w:r>
        <w:t>EHCP</w:t>
      </w:r>
      <w:r>
        <w:rPr>
          <w:spacing w:val="-1"/>
        </w:rPr>
        <w:t xml:space="preserve"> </w:t>
      </w:r>
      <w:r>
        <w:t>are</w:t>
      </w:r>
      <w:r>
        <w:rPr>
          <w:spacing w:val="-3"/>
        </w:rPr>
        <w:t xml:space="preserve"> </w:t>
      </w:r>
      <w:r>
        <w:t>invited to</w:t>
      </w:r>
      <w:r>
        <w:rPr>
          <w:spacing w:val="-5"/>
        </w:rPr>
        <w:t xml:space="preserve"> </w:t>
      </w:r>
      <w:r>
        <w:t>be</w:t>
      </w:r>
      <w:r>
        <w:rPr>
          <w:spacing w:val="-3"/>
        </w:rPr>
        <w:t xml:space="preserve"> </w:t>
      </w:r>
      <w:r>
        <w:t>fully</w:t>
      </w:r>
      <w:r>
        <w:rPr>
          <w:spacing w:val="-7"/>
        </w:rPr>
        <w:t xml:space="preserve"> </w:t>
      </w:r>
      <w:r>
        <w:t>involved</w:t>
      </w:r>
      <w:r>
        <w:rPr>
          <w:spacing w:val="-6"/>
        </w:rPr>
        <w:t xml:space="preserve"> </w:t>
      </w:r>
      <w:r>
        <w:t>with</w:t>
      </w:r>
      <w:r>
        <w:rPr>
          <w:spacing w:val="-1"/>
        </w:rPr>
        <w:t xml:space="preserve"> </w:t>
      </w:r>
      <w:r>
        <w:t>their</w:t>
      </w:r>
      <w:r>
        <w:rPr>
          <w:spacing w:val="-3"/>
        </w:rPr>
        <w:t xml:space="preserve"> </w:t>
      </w:r>
      <w:r>
        <w:t>Annual Review meeting and with any Interim Review meetings.</w:t>
      </w:r>
      <w:r>
        <w:rPr>
          <w:spacing w:val="40"/>
        </w:rPr>
        <w:t xml:space="preserve"> </w:t>
      </w:r>
      <w:r>
        <w:t>Their views are sought in relation to their progress, what has gone well/not gone so well and what supports them.</w:t>
      </w:r>
      <w:r>
        <w:rPr>
          <w:spacing w:val="40"/>
        </w:rPr>
        <w:t xml:space="preserve"> </w:t>
      </w:r>
      <w:r>
        <w:t>They are invited to attend for part of the meeting or the whole meeting, as appropriate.</w:t>
      </w:r>
    </w:p>
    <w:p>
      <w:pPr>
        <w:pStyle w:val="BodyText"/>
        <w:ind w:left="0"/>
      </w:pPr>
    </w:p>
    <w:p>
      <w:pPr>
        <w:pStyle w:val="BodyText"/>
        <w:spacing w:before="103"/>
        <w:ind w:left="0"/>
      </w:pPr>
    </w:p>
    <w:p>
      <w:pPr>
        <w:pStyle w:val="Heading1"/>
      </w:pPr>
      <w:r>
        <w:t>How</w:t>
      </w:r>
      <w:r>
        <w:rPr>
          <w:spacing w:val="-7"/>
        </w:rPr>
        <w:t xml:space="preserve"> </w:t>
      </w:r>
      <w:r>
        <w:t>are</w:t>
      </w:r>
      <w:r>
        <w:rPr>
          <w:spacing w:val="-7"/>
        </w:rPr>
        <w:t xml:space="preserve"> </w:t>
      </w:r>
      <w:r>
        <w:t>transitions</w:t>
      </w:r>
      <w:r>
        <w:rPr>
          <w:spacing w:val="-7"/>
        </w:rPr>
        <w:t xml:space="preserve"> </w:t>
      </w:r>
      <w:r>
        <w:rPr>
          <w:spacing w:val="-2"/>
        </w:rPr>
        <w:t>supported?</w:t>
      </w:r>
    </w:p>
    <w:p>
      <w:pPr>
        <w:spacing w:before="187"/>
        <w:ind w:left="100"/>
        <w:rPr>
          <w:b/>
          <w:sz w:val="24"/>
        </w:rPr>
      </w:pPr>
      <w:r>
        <w:rPr>
          <w:b/>
          <w:sz w:val="24"/>
        </w:rPr>
        <w:t>Transition</w:t>
      </w:r>
      <w:r>
        <w:rPr>
          <w:b/>
          <w:spacing w:val="-6"/>
          <w:sz w:val="24"/>
        </w:rPr>
        <w:t xml:space="preserve"> </w:t>
      </w:r>
      <w:r>
        <w:rPr>
          <w:b/>
          <w:sz w:val="24"/>
        </w:rPr>
        <w:t>into</w:t>
      </w:r>
      <w:r>
        <w:rPr>
          <w:b/>
          <w:spacing w:val="-6"/>
          <w:sz w:val="24"/>
        </w:rPr>
        <w:t xml:space="preserve"> </w:t>
      </w:r>
      <w:r>
        <w:rPr>
          <w:b/>
          <w:spacing w:val="-2"/>
          <w:sz w:val="24"/>
        </w:rPr>
        <w:t>EOTAS</w:t>
      </w:r>
    </w:p>
    <w:p>
      <w:pPr>
        <w:pStyle w:val="BodyText"/>
        <w:spacing w:before="183" w:line="259" w:lineRule="auto"/>
        <w:ind w:right="228"/>
      </w:pPr>
      <w:r>
        <w:t>When</w:t>
      </w:r>
      <w:r>
        <w:rPr>
          <w:spacing w:val="-3"/>
        </w:rPr>
        <w:t xml:space="preserve"> </w:t>
      </w:r>
      <w:r>
        <w:t>a</w:t>
      </w:r>
      <w:r>
        <w:rPr>
          <w:spacing w:val="-4"/>
        </w:rPr>
        <w:t xml:space="preserve"> </w:t>
      </w:r>
      <w:r>
        <w:t>pupil is</w:t>
      </w:r>
      <w:r>
        <w:rPr>
          <w:spacing w:val="-3"/>
        </w:rPr>
        <w:t xml:space="preserve"> </w:t>
      </w:r>
      <w:r>
        <w:t>joining</w:t>
      </w:r>
      <w:r>
        <w:rPr>
          <w:spacing w:val="-4"/>
        </w:rPr>
        <w:t xml:space="preserve"> </w:t>
      </w:r>
      <w:r>
        <w:t>a</w:t>
      </w:r>
      <w:r>
        <w:rPr>
          <w:spacing w:val="-3"/>
        </w:rPr>
        <w:t xml:space="preserve"> </w:t>
      </w:r>
      <w:r>
        <w:t>college</w:t>
      </w:r>
      <w:r>
        <w:rPr>
          <w:spacing w:val="-3"/>
        </w:rPr>
        <w:t xml:space="preserve"> </w:t>
      </w:r>
      <w:r>
        <w:t>within</w:t>
      </w:r>
      <w:r>
        <w:rPr>
          <w:spacing w:val="-3"/>
        </w:rPr>
        <w:t xml:space="preserve"> </w:t>
      </w:r>
      <w:r>
        <w:t>EOTAS,</w:t>
      </w:r>
      <w:r>
        <w:rPr>
          <w:spacing w:val="-2"/>
        </w:rPr>
        <w:t xml:space="preserve"> </w:t>
      </w:r>
      <w:r>
        <w:t>they</w:t>
      </w:r>
      <w:r>
        <w:rPr>
          <w:spacing w:val="-5"/>
        </w:rPr>
        <w:t xml:space="preserve"> </w:t>
      </w:r>
      <w:r>
        <w:t>are</w:t>
      </w:r>
      <w:r>
        <w:rPr>
          <w:spacing w:val="-3"/>
        </w:rPr>
        <w:t xml:space="preserve"> </w:t>
      </w:r>
      <w:r>
        <w:t>invited to</w:t>
      </w:r>
      <w:r>
        <w:rPr>
          <w:spacing w:val="-5"/>
        </w:rPr>
        <w:t xml:space="preserve"> </w:t>
      </w:r>
      <w:r>
        <w:t>attend</w:t>
      </w:r>
      <w:r>
        <w:rPr>
          <w:spacing w:val="-3"/>
        </w:rPr>
        <w:t xml:space="preserve"> </w:t>
      </w:r>
      <w:r>
        <w:t>at least one induction session, where they visit the college and are shown around.</w:t>
      </w:r>
      <w:r>
        <w:rPr>
          <w:spacing w:val="40"/>
        </w:rPr>
        <w:t xml:space="preserve"> </w:t>
      </w:r>
      <w:r>
        <w:t xml:space="preserve">As part of this visit, they will usually complete their induction </w:t>
      </w:r>
      <w:r>
        <w:rPr>
          <w:spacing w:val="-2"/>
        </w:rPr>
        <w:t>assessments.</w:t>
      </w:r>
    </w:p>
    <w:p>
      <w:pPr>
        <w:pStyle w:val="BodyText"/>
        <w:spacing w:before="160" w:line="259" w:lineRule="auto"/>
        <w:ind w:right="179"/>
        <w:jc w:val="both"/>
      </w:pPr>
      <w:r>
        <w:t>During this</w:t>
      </w:r>
      <w:r>
        <w:rPr>
          <w:spacing w:val="-2"/>
        </w:rPr>
        <w:t xml:space="preserve"> </w:t>
      </w:r>
      <w:r>
        <w:t>induction session,</w:t>
      </w:r>
      <w:r>
        <w:rPr>
          <w:spacing w:val="-4"/>
        </w:rPr>
        <w:t xml:space="preserve"> </w:t>
      </w:r>
      <w:r>
        <w:t>information</w:t>
      </w:r>
      <w:r>
        <w:rPr>
          <w:spacing w:val="-2"/>
        </w:rPr>
        <w:t xml:space="preserve"> </w:t>
      </w:r>
      <w:r>
        <w:t>is</w:t>
      </w:r>
      <w:r>
        <w:rPr>
          <w:spacing w:val="-2"/>
        </w:rPr>
        <w:t xml:space="preserve"> </w:t>
      </w:r>
      <w:r>
        <w:t>gathered</w:t>
      </w:r>
      <w:r>
        <w:rPr>
          <w:spacing w:val="-2"/>
        </w:rPr>
        <w:t xml:space="preserve"> </w:t>
      </w:r>
      <w:r>
        <w:t>about</w:t>
      </w:r>
      <w:r>
        <w:rPr>
          <w:spacing w:val="-2"/>
        </w:rPr>
        <w:t xml:space="preserve"> </w:t>
      </w:r>
      <w:r>
        <w:t>the pupil from the pupil</w:t>
      </w:r>
      <w:r>
        <w:rPr>
          <w:spacing w:val="-1"/>
        </w:rPr>
        <w:t xml:space="preserve"> </w:t>
      </w:r>
      <w:r>
        <w:t>and</w:t>
      </w:r>
      <w:r>
        <w:rPr>
          <w:spacing w:val="-7"/>
        </w:rPr>
        <w:t xml:space="preserve"> </w:t>
      </w:r>
      <w:r>
        <w:t>parents/carers.</w:t>
      </w:r>
      <w:r>
        <w:rPr>
          <w:spacing w:val="40"/>
        </w:rPr>
        <w:t xml:space="preserve"> </w:t>
      </w:r>
      <w:r>
        <w:t>Parents/carers</w:t>
      </w:r>
      <w:r>
        <w:rPr>
          <w:spacing w:val="-5"/>
        </w:rPr>
        <w:t xml:space="preserve"> </w:t>
      </w:r>
      <w:r>
        <w:t>are</w:t>
      </w:r>
      <w:r>
        <w:rPr>
          <w:spacing w:val="-5"/>
        </w:rPr>
        <w:t xml:space="preserve"> </w:t>
      </w:r>
      <w:r>
        <w:t>familiarised</w:t>
      </w:r>
      <w:r>
        <w:rPr>
          <w:spacing w:val="-6"/>
        </w:rPr>
        <w:t xml:space="preserve"> </w:t>
      </w:r>
      <w:r>
        <w:t>with</w:t>
      </w:r>
      <w:r>
        <w:rPr>
          <w:spacing w:val="-5"/>
        </w:rPr>
        <w:t xml:space="preserve"> </w:t>
      </w:r>
      <w:r>
        <w:t>EOTAS</w:t>
      </w:r>
      <w:r>
        <w:rPr>
          <w:spacing w:val="-5"/>
        </w:rPr>
        <w:t xml:space="preserve"> </w:t>
      </w:r>
      <w:r>
        <w:t>Swindon policies and procedures and key information.</w:t>
      </w:r>
    </w:p>
    <w:p>
      <w:pPr>
        <w:pStyle w:val="BodyText"/>
        <w:spacing w:before="158" w:line="259" w:lineRule="auto"/>
        <w:ind w:right="143"/>
      </w:pPr>
      <w:r>
        <w:t>Pupils often attend more than one induction visit, particularly where it is felt that they need more time to feel comfortable within the college.</w:t>
      </w:r>
      <w:r>
        <w:rPr>
          <w:spacing w:val="40"/>
        </w:rPr>
        <w:t xml:space="preserve"> </w:t>
      </w:r>
      <w:r>
        <w:t>Pupils will meet their tutor before their first day of attendance at the college.</w:t>
      </w:r>
      <w:r>
        <w:rPr>
          <w:spacing w:val="40"/>
        </w:rPr>
        <w:t xml:space="preserve"> </w:t>
      </w:r>
      <w:r>
        <w:t>Where necessary,</w:t>
      </w:r>
      <w:r>
        <w:rPr>
          <w:spacing w:val="-6"/>
        </w:rPr>
        <w:t xml:space="preserve"> </w:t>
      </w:r>
      <w:r>
        <w:t>additional</w:t>
      </w:r>
      <w:r>
        <w:rPr>
          <w:spacing w:val="-2"/>
        </w:rPr>
        <w:t xml:space="preserve"> </w:t>
      </w:r>
      <w:r>
        <w:t>information</w:t>
      </w:r>
      <w:r>
        <w:rPr>
          <w:spacing w:val="-4"/>
        </w:rPr>
        <w:t xml:space="preserve"> </w:t>
      </w:r>
      <w:r>
        <w:t>such</w:t>
      </w:r>
      <w:r>
        <w:rPr>
          <w:spacing w:val="-4"/>
        </w:rPr>
        <w:t xml:space="preserve"> </w:t>
      </w:r>
      <w:r>
        <w:t>as</w:t>
      </w:r>
      <w:r>
        <w:rPr>
          <w:spacing w:val="-4"/>
        </w:rPr>
        <w:t xml:space="preserve"> </w:t>
      </w:r>
      <w:r>
        <w:t>a</w:t>
      </w:r>
      <w:r>
        <w:rPr>
          <w:spacing w:val="-2"/>
        </w:rPr>
        <w:t xml:space="preserve"> </w:t>
      </w:r>
      <w:r>
        <w:t>timetable</w:t>
      </w:r>
      <w:r>
        <w:rPr>
          <w:spacing w:val="-4"/>
        </w:rPr>
        <w:t xml:space="preserve"> </w:t>
      </w:r>
      <w:r>
        <w:t>or</w:t>
      </w:r>
      <w:r>
        <w:rPr>
          <w:spacing w:val="-4"/>
        </w:rPr>
        <w:t xml:space="preserve"> </w:t>
      </w:r>
      <w:r>
        <w:t>photographs</w:t>
      </w:r>
      <w:r>
        <w:rPr>
          <w:spacing w:val="-4"/>
        </w:rPr>
        <w:t xml:space="preserve"> </w:t>
      </w:r>
      <w:r>
        <w:t>of</w:t>
      </w:r>
      <w:r>
        <w:rPr>
          <w:spacing w:val="-6"/>
        </w:rPr>
        <w:t xml:space="preserve"> </w:t>
      </w:r>
      <w:r>
        <w:t>staff can be shared before the pupil starts.</w:t>
      </w:r>
    </w:p>
    <w:p>
      <w:pPr>
        <w:pStyle w:val="BodyText"/>
        <w:spacing w:before="159" w:line="259" w:lineRule="auto"/>
        <w:ind w:right="228"/>
      </w:pPr>
      <w:r>
        <w:t>All</w:t>
      </w:r>
      <w:r>
        <w:rPr>
          <w:spacing w:val="-4"/>
        </w:rPr>
        <w:t xml:space="preserve"> </w:t>
      </w:r>
      <w:r>
        <w:t>information</w:t>
      </w:r>
      <w:r>
        <w:rPr>
          <w:spacing w:val="-6"/>
        </w:rPr>
        <w:t xml:space="preserve"> </w:t>
      </w:r>
      <w:r>
        <w:t>gathered</w:t>
      </w:r>
      <w:r>
        <w:rPr>
          <w:spacing w:val="-6"/>
        </w:rPr>
        <w:t xml:space="preserve"> </w:t>
      </w:r>
      <w:r>
        <w:t>through</w:t>
      </w:r>
      <w:r>
        <w:rPr>
          <w:spacing w:val="-4"/>
        </w:rPr>
        <w:t xml:space="preserve"> </w:t>
      </w:r>
      <w:r>
        <w:t>the</w:t>
      </w:r>
      <w:r>
        <w:rPr>
          <w:spacing w:val="-6"/>
        </w:rPr>
        <w:t xml:space="preserve"> </w:t>
      </w:r>
      <w:r>
        <w:t>induction</w:t>
      </w:r>
      <w:r>
        <w:rPr>
          <w:spacing w:val="-6"/>
        </w:rPr>
        <w:t xml:space="preserve"> </w:t>
      </w:r>
      <w:r>
        <w:t>process,</w:t>
      </w:r>
      <w:r>
        <w:rPr>
          <w:spacing w:val="-7"/>
        </w:rPr>
        <w:t xml:space="preserve"> </w:t>
      </w:r>
      <w:r>
        <w:t>along</w:t>
      </w:r>
      <w:r>
        <w:rPr>
          <w:spacing w:val="-8"/>
        </w:rPr>
        <w:t xml:space="preserve"> </w:t>
      </w:r>
      <w:r>
        <w:t>with information from a child’s last/home school and information from</w:t>
      </w:r>
    </w:p>
    <w:p>
      <w:pPr>
        <w:pStyle w:val="BodyText"/>
        <w:spacing w:line="259" w:lineRule="auto"/>
        <w:ind w:right="143"/>
      </w:pPr>
      <w:r>
        <w:t>professionals working with a child/professional reports is used to inform the Pupil Passport</w:t>
      </w:r>
      <w:r>
        <w:rPr>
          <w:spacing w:val="-7"/>
        </w:rPr>
        <w:t xml:space="preserve"> </w:t>
      </w:r>
      <w:r>
        <w:t>and</w:t>
      </w:r>
      <w:r>
        <w:rPr>
          <w:spacing w:val="-3"/>
        </w:rPr>
        <w:t xml:space="preserve"> </w:t>
      </w:r>
      <w:r>
        <w:t>Individual Risk</w:t>
      </w:r>
      <w:r>
        <w:rPr>
          <w:spacing w:val="-2"/>
        </w:rPr>
        <w:t xml:space="preserve"> </w:t>
      </w:r>
      <w:r>
        <w:t>Assessment,</w:t>
      </w:r>
      <w:r>
        <w:rPr>
          <w:spacing w:val="-4"/>
        </w:rPr>
        <w:t xml:space="preserve"> </w:t>
      </w:r>
      <w:r>
        <w:t>which</w:t>
      </w:r>
      <w:r>
        <w:rPr>
          <w:spacing w:val="-2"/>
        </w:rPr>
        <w:t xml:space="preserve"> </w:t>
      </w:r>
      <w:r>
        <w:t>are</w:t>
      </w:r>
      <w:r>
        <w:rPr>
          <w:spacing w:val="-2"/>
        </w:rPr>
        <w:t xml:space="preserve"> </w:t>
      </w:r>
      <w:r>
        <w:t>shared</w:t>
      </w:r>
      <w:r>
        <w:rPr>
          <w:spacing w:val="-3"/>
        </w:rPr>
        <w:t xml:space="preserve"> </w:t>
      </w:r>
      <w:r>
        <w:t>with</w:t>
      </w:r>
      <w:r>
        <w:rPr>
          <w:spacing w:val="-2"/>
        </w:rPr>
        <w:t xml:space="preserve"> </w:t>
      </w:r>
      <w:r>
        <w:t>all staff before</w:t>
      </w:r>
      <w:r>
        <w:rPr>
          <w:spacing w:val="-1"/>
        </w:rPr>
        <w:t xml:space="preserve"> </w:t>
      </w:r>
      <w:r>
        <w:t>the</w:t>
      </w:r>
      <w:r>
        <w:rPr>
          <w:spacing w:val="-2"/>
        </w:rPr>
        <w:t xml:space="preserve"> </w:t>
      </w:r>
      <w:r>
        <w:t>first</w:t>
      </w:r>
      <w:r>
        <w:rPr>
          <w:spacing w:val="-8"/>
        </w:rPr>
        <w:t xml:space="preserve"> </w:t>
      </w:r>
      <w:r>
        <w:t>day</w:t>
      </w:r>
      <w:r>
        <w:rPr>
          <w:spacing w:val="-1"/>
        </w:rPr>
        <w:t xml:space="preserve"> </w:t>
      </w:r>
      <w:r>
        <w:t>that</w:t>
      </w:r>
      <w:r>
        <w:rPr>
          <w:spacing w:val="-4"/>
        </w:rPr>
        <w:t xml:space="preserve"> </w:t>
      </w:r>
      <w:r>
        <w:t>the</w:t>
      </w:r>
      <w:r>
        <w:rPr>
          <w:spacing w:val="-3"/>
        </w:rPr>
        <w:t xml:space="preserve"> </w:t>
      </w:r>
      <w:r>
        <w:t>pupil</w:t>
      </w:r>
      <w:r>
        <w:rPr>
          <w:spacing w:val="-1"/>
        </w:rPr>
        <w:t xml:space="preserve"> </w:t>
      </w:r>
      <w:r>
        <w:t>attends</w:t>
      </w:r>
      <w:r>
        <w:rPr>
          <w:spacing w:val="2"/>
        </w:rPr>
        <w:t xml:space="preserve"> </w:t>
      </w:r>
      <w:r>
        <w:t>the</w:t>
      </w:r>
      <w:r>
        <w:rPr>
          <w:spacing w:val="-2"/>
        </w:rPr>
        <w:t xml:space="preserve"> college</w:t>
      </w:r>
      <w:r>
        <w:t>.</w:t>
      </w:r>
      <w:r>
        <w:rPr>
          <w:spacing w:val="60"/>
        </w:rPr>
        <w:t xml:space="preserve"> </w:t>
      </w:r>
      <w:r>
        <w:t>All</w:t>
      </w:r>
      <w:r>
        <w:rPr>
          <w:spacing w:val="-3"/>
        </w:rPr>
        <w:t xml:space="preserve"> </w:t>
      </w:r>
      <w:r>
        <w:t>staff</w:t>
      </w:r>
      <w:r>
        <w:rPr>
          <w:spacing w:val="-3"/>
        </w:rPr>
        <w:t xml:space="preserve"> </w:t>
      </w:r>
      <w:r>
        <w:t>are</w:t>
      </w:r>
      <w:r>
        <w:rPr>
          <w:spacing w:val="-2"/>
        </w:rPr>
        <w:t xml:space="preserve"> expected</w:t>
      </w:r>
    </w:p>
    <w:p>
      <w:pPr>
        <w:spacing w:line="259" w:lineRule="auto"/>
        <w:sectPr>
          <w:pgSz w:w="11910" w:h="16840"/>
          <w:pgMar w:top="1840" w:right="1320" w:bottom="280" w:left="1340" w:header="708" w:footer="0" w:gutter="0"/>
          <w:cols w:space="720"/>
        </w:sectPr>
      </w:pPr>
    </w:p>
    <w:p>
      <w:pPr>
        <w:pStyle w:val="BodyText"/>
        <w:spacing w:before="90" w:line="259" w:lineRule="auto"/>
        <w:ind w:right="143"/>
      </w:pPr>
      <w:r>
        <w:lastRenderedPageBreak/>
        <w:t>to</w:t>
      </w:r>
      <w:r>
        <w:rPr>
          <w:spacing w:val="-5"/>
        </w:rPr>
        <w:t xml:space="preserve"> </w:t>
      </w:r>
      <w:r>
        <w:t>read the</w:t>
      </w:r>
      <w:r>
        <w:rPr>
          <w:spacing w:val="-3"/>
        </w:rPr>
        <w:t xml:space="preserve"> </w:t>
      </w:r>
      <w:r>
        <w:t>Pupil Passport</w:t>
      </w:r>
      <w:r>
        <w:rPr>
          <w:spacing w:val="-8"/>
        </w:rPr>
        <w:t xml:space="preserve"> </w:t>
      </w:r>
      <w:r>
        <w:t>and</w:t>
      </w:r>
      <w:r>
        <w:rPr>
          <w:spacing w:val="-4"/>
        </w:rPr>
        <w:t xml:space="preserve"> </w:t>
      </w:r>
      <w:r>
        <w:t>Individual</w:t>
      </w:r>
      <w:r>
        <w:rPr>
          <w:spacing w:val="-3"/>
        </w:rPr>
        <w:t xml:space="preserve"> </w:t>
      </w:r>
      <w:r>
        <w:t>Risk</w:t>
      </w:r>
      <w:r>
        <w:rPr>
          <w:spacing w:val="-3"/>
        </w:rPr>
        <w:t xml:space="preserve"> </w:t>
      </w:r>
      <w:r>
        <w:t>Assessment</w:t>
      </w:r>
      <w:r>
        <w:rPr>
          <w:spacing w:val="-8"/>
        </w:rPr>
        <w:t xml:space="preserve"> </w:t>
      </w:r>
      <w:r>
        <w:t>for</w:t>
      </w:r>
      <w:r>
        <w:rPr>
          <w:spacing w:val="-3"/>
        </w:rPr>
        <w:t xml:space="preserve"> </w:t>
      </w:r>
      <w:r>
        <w:t>a</w:t>
      </w:r>
      <w:r>
        <w:rPr>
          <w:spacing w:val="-2"/>
        </w:rPr>
        <w:t xml:space="preserve"> </w:t>
      </w:r>
      <w:r>
        <w:t>new</w:t>
      </w:r>
      <w:r>
        <w:rPr>
          <w:spacing w:val="-3"/>
        </w:rPr>
        <w:t xml:space="preserve"> </w:t>
      </w:r>
      <w:r>
        <w:t>pupil</w:t>
      </w:r>
      <w:r>
        <w:rPr>
          <w:spacing w:val="-1"/>
        </w:rPr>
        <w:t xml:space="preserve"> </w:t>
      </w:r>
      <w:r>
        <w:t>to inform their approach to supporting the pupil.</w:t>
      </w:r>
    </w:p>
    <w:p>
      <w:pPr>
        <w:pStyle w:val="BodyText"/>
        <w:ind w:left="0"/>
      </w:pPr>
    </w:p>
    <w:p>
      <w:pPr>
        <w:pStyle w:val="BodyText"/>
        <w:spacing w:before="48"/>
        <w:ind w:left="0"/>
      </w:pPr>
    </w:p>
    <w:p>
      <w:pPr>
        <w:pStyle w:val="Heading1"/>
        <w:spacing w:before="1"/>
      </w:pPr>
      <w:r>
        <w:t>Transition</w:t>
      </w:r>
      <w:r>
        <w:rPr>
          <w:spacing w:val="-4"/>
        </w:rPr>
        <w:t xml:space="preserve"> </w:t>
      </w:r>
      <w:r>
        <w:t>out</w:t>
      </w:r>
      <w:r>
        <w:rPr>
          <w:spacing w:val="-4"/>
        </w:rPr>
        <w:t xml:space="preserve"> </w:t>
      </w:r>
      <w:r>
        <w:t>of</w:t>
      </w:r>
      <w:r>
        <w:rPr>
          <w:spacing w:val="-5"/>
        </w:rPr>
        <w:t xml:space="preserve"> </w:t>
      </w:r>
      <w:r>
        <w:rPr>
          <w:spacing w:val="-2"/>
        </w:rPr>
        <w:t>EOTAS</w:t>
      </w:r>
    </w:p>
    <w:p>
      <w:pPr>
        <w:pStyle w:val="BodyText"/>
        <w:spacing w:before="186" w:line="259" w:lineRule="auto"/>
        <w:ind w:right="228"/>
      </w:pPr>
      <w:r>
        <w:t>For many</w:t>
      </w:r>
      <w:r>
        <w:rPr>
          <w:spacing w:val="-1"/>
        </w:rPr>
        <w:t xml:space="preserve"> </w:t>
      </w:r>
      <w:r>
        <w:t>pupils,</w:t>
      </w:r>
      <w:r>
        <w:rPr>
          <w:spacing w:val="-1"/>
        </w:rPr>
        <w:t xml:space="preserve"> </w:t>
      </w:r>
      <w:r>
        <w:t>placement</w:t>
      </w:r>
      <w:r>
        <w:rPr>
          <w:spacing w:val="-4"/>
        </w:rPr>
        <w:t xml:space="preserve"> </w:t>
      </w:r>
      <w:r>
        <w:t>at</w:t>
      </w:r>
      <w:r>
        <w:rPr>
          <w:spacing w:val="-2"/>
        </w:rPr>
        <w:t xml:space="preserve"> </w:t>
      </w:r>
      <w:r>
        <w:t>EOTAS is short</w:t>
      </w:r>
      <w:r>
        <w:rPr>
          <w:spacing w:val="-1"/>
        </w:rPr>
        <w:t xml:space="preserve"> </w:t>
      </w:r>
      <w:r>
        <w:t>term.</w:t>
      </w:r>
      <w:r>
        <w:rPr>
          <w:spacing w:val="40"/>
        </w:rPr>
        <w:t xml:space="preserve"> </w:t>
      </w:r>
      <w:r>
        <w:t>Where pupils have been permanently</w:t>
      </w:r>
      <w:r>
        <w:rPr>
          <w:spacing w:val="-5"/>
        </w:rPr>
        <w:t xml:space="preserve"> </w:t>
      </w:r>
      <w:r>
        <w:t>excluded,</w:t>
      </w:r>
      <w:r>
        <w:rPr>
          <w:spacing w:val="-5"/>
        </w:rPr>
        <w:t xml:space="preserve"> </w:t>
      </w:r>
      <w:r>
        <w:t>EOTAS</w:t>
      </w:r>
      <w:r>
        <w:rPr>
          <w:spacing w:val="-3"/>
        </w:rPr>
        <w:t xml:space="preserve"> </w:t>
      </w:r>
      <w:r>
        <w:t>will</w:t>
      </w:r>
      <w:r>
        <w:rPr>
          <w:spacing w:val="-1"/>
        </w:rPr>
        <w:t xml:space="preserve"> </w:t>
      </w:r>
      <w:r>
        <w:t>aim</w:t>
      </w:r>
      <w:r>
        <w:rPr>
          <w:spacing w:val="-2"/>
        </w:rPr>
        <w:t xml:space="preserve"> </w:t>
      </w:r>
      <w:r>
        <w:t>to</w:t>
      </w:r>
      <w:r>
        <w:rPr>
          <w:spacing w:val="-2"/>
        </w:rPr>
        <w:t xml:space="preserve"> </w:t>
      </w:r>
      <w:r>
        <w:t>get</w:t>
      </w:r>
      <w:r>
        <w:rPr>
          <w:spacing w:val="-8"/>
        </w:rPr>
        <w:t xml:space="preserve"> </w:t>
      </w:r>
      <w:r>
        <w:t>a</w:t>
      </w:r>
      <w:r>
        <w:rPr>
          <w:spacing w:val="-1"/>
        </w:rPr>
        <w:t xml:space="preserve"> </w:t>
      </w:r>
      <w:r>
        <w:t>thorough</w:t>
      </w:r>
      <w:r>
        <w:rPr>
          <w:spacing w:val="-4"/>
        </w:rPr>
        <w:t xml:space="preserve"> </w:t>
      </w:r>
      <w:r>
        <w:t>understanding</w:t>
      </w:r>
      <w:r>
        <w:rPr>
          <w:spacing w:val="-4"/>
        </w:rPr>
        <w:t xml:space="preserve"> </w:t>
      </w:r>
      <w:r>
        <w:t>of</w:t>
      </w:r>
      <w:r>
        <w:rPr>
          <w:spacing w:val="-5"/>
        </w:rPr>
        <w:t xml:space="preserve"> </w:t>
      </w:r>
      <w:r>
        <w:t>a pupil’s needs and any underlying special educational needs or disabilities (SEND), to put in place appropriate support and make any appropriate referrals to outside agencies.</w:t>
      </w:r>
      <w:r>
        <w:rPr>
          <w:spacing w:val="40"/>
        </w:rPr>
        <w:t xml:space="preserve"> </w:t>
      </w:r>
      <w:r>
        <w:t>With this support, it is hoped that many pupils will be able to reintegrate to mainstream schools.</w:t>
      </w:r>
    </w:p>
    <w:p>
      <w:pPr>
        <w:pStyle w:val="BodyText"/>
        <w:spacing w:before="158" w:line="259" w:lineRule="auto"/>
        <w:ind w:right="143"/>
      </w:pPr>
      <w:r>
        <w:t>Reintegration to mainstream schools is managed through the Swindon Fair Access Panel (FAP.)</w:t>
      </w:r>
      <w:r>
        <w:rPr>
          <w:spacing w:val="40"/>
        </w:rPr>
        <w:t xml:space="preserve"> </w:t>
      </w:r>
      <w:r>
        <w:t>When preparing a pupil to transition back to a mainstream school through FAP, EOTAS will prepare information about a pupil’s</w:t>
      </w:r>
      <w:r>
        <w:rPr>
          <w:spacing w:val="-2"/>
        </w:rPr>
        <w:t xml:space="preserve"> </w:t>
      </w:r>
      <w:r>
        <w:t>interests,</w:t>
      </w:r>
      <w:r>
        <w:rPr>
          <w:spacing w:val="-5"/>
        </w:rPr>
        <w:t xml:space="preserve"> </w:t>
      </w:r>
      <w:r>
        <w:t>strengths,</w:t>
      </w:r>
      <w:r>
        <w:rPr>
          <w:spacing w:val="-5"/>
        </w:rPr>
        <w:t xml:space="preserve"> </w:t>
      </w:r>
      <w:r>
        <w:t>needs</w:t>
      </w:r>
      <w:r>
        <w:rPr>
          <w:spacing w:val="-3"/>
        </w:rPr>
        <w:t xml:space="preserve"> </w:t>
      </w:r>
      <w:r>
        <w:t>and</w:t>
      </w:r>
      <w:r>
        <w:rPr>
          <w:spacing w:val="-3"/>
        </w:rPr>
        <w:t xml:space="preserve"> </w:t>
      </w:r>
      <w:r>
        <w:t>how</w:t>
      </w:r>
      <w:r>
        <w:rPr>
          <w:spacing w:val="-3"/>
        </w:rPr>
        <w:t xml:space="preserve"> </w:t>
      </w:r>
      <w:r>
        <w:t>best</w:t>
      </w:r>
      <w:r>
        <w:rPr>
          <w:spacing w:val="-5"/>
        </w:rPr>
        <w:t xml:space="preserve"> </w:t>
      </w:r>
      <w:r>
        <w:t>to</w:t>
      </w:r>
      <w:r>
        <w:rPr>
          <w:spacing w:val="-5"/>
        </w:rPr>
        <w:t xml:space="preserve"> </w:t>
      </w:r>
      <w:r>
        <w:t>support</w:t>
      </w:r>
      <w:r>
        <w:rPr>
          <w:spacing w:val="-3"/>
        </w:rPr>
        <w:t xml:space="preserve"> </w:t>
      </w:r>
      <w:r>
        <w:t>them,</w:t>
      </w:r>
      <w:r>
        <w:rPr>
          <w:spacing w:val="-5"/>
        </w:rPr>
        <w:t xml:space="preserve"> </w:t>
      </w:r>
      <w:r>
        <w:t>to</w:t>
      </w:r>
      <w:r>
        <w:rPr>
          <w:spacing w:val="-5"/>
        </w:rPr>
        <w:t xml:space="preserve"> </w:t>
      </w:r>
      <w:r>
        <w:t>be</w:t>
      </w:r>
      <w:r>
        <w:rPr>
          <w:spacing w:val="-3"/>
        </w:rPr>
        <w:t xml:space="preserve"> </w:t>
      </w:r>
      <w:r>
        <w:t>shared with the receiving school.</w:t>
      </w:r>
      <w:r>
        <w:rPr>
          <w:spacing w:val="40"/>
        </w:rPr>
        <w:t xml:space="preserve"> </w:t>
      </w:r>
      <w:r>
        <w:t>Tools such as the ‘Multi-element plan’ and ‘Big</w:t>
      </w:r>
    </w:p>
    <w:p>
      <w:pPr>
        <w:pStyle w:val="BodyText"/>
      </w:pPr>
      <w:r>
        <w:t>picture</w:t>
      </w:r>
      <w:r>
        <w:rPr>
          <w:spacing w:val="-3"/>
        </w:rPr>
        <w:t xml:space="preserve"> </w:t>
      </w:r>
      <w:r>
        <w:t>meetings’</w:t>
      </w:r>
      <w:r>
        <w:rPr>
          <w:spacing w:val="-3"/>
        </w:rPr>
        <w:t xml:space="preserve"> </w:t>
      </w:r>
      <w:r>
        <w:t>may</w:t>
      </w:r>
      <w:r>
        <w:rPr>
          <w:spacing w:val="-4"/>
        </w:rPr>
        <w:t xml:space="preserve"> </w:t>
      </w:r>
      <w:r>
        <w:t>be</w:t>
      </w:r>
      <w:r>
        <w:rPr>
          <w:spacing w:val="-3"/>
        </w:rPr>
        <w:t xml:space="preserve"> </w:t>
      </w:r>
      <w:r>
        <w:t>used</w:t>
      </w:r>
      <w:r>
        <w:rPr>
          <w:spacing w:val="-3"/>
        </w:rPr>
        <w:t xml:space="preserve"> </w:t>
      </w:r>
      <w:r>
        <w:t>to</w:t>
      </w:r>
      <w:r>
        <w:rPr>
          <w:spacing w:val="-4"/>
        </w:rPr>
        <w:t xml:space="preserve"> </w:t>
      </w:r>
      <w:r>
        <w:t>inform</w:t>
      </w:r>
      <w:r>
        <w:rPr>
          <w:spacing w:val="2"/>
        </w:rPr>
        <w:t xml:space="preserve"> </w:t>
      </w:r>
      <w:r>
        <w:t>this</w:t>
      </w:r>
      <w:r>
        <w:rPr>
          <w:spacing w:val="-2"/>
        </w:rPr>
        <w:t xml:space="preserve"> process.</w:t>
      </w:r>
    </w:p>
    <w:p>
      <w:pPr>
        <w:pStyle w:val="BodyText"/>
        <w:spacing w:before="183" w:line="259" w:lineRule="auto"/>
        <w:ind w:right="228"/>
      </w:pPr>
      <w:r>
        <w:t>When a pupil is accepted by a mainstream school, a thorough transition process will be planned in discussion with the pupil and parents/carers, to enable</w:t>
      </w:r>
      <w:r>
        <w:rPr>
          <w:spacing w:val="-7"/>
        </w:rPr>
        <w:t xml:space="preserve"> </w:t>
      </w:r>
      <w:r>
        <w:t>the</w:t>
      </w:r>
      <w:r>
        <w:rPr>
          <w:spacing w:val="-4"/>
        </w:rPr>
        <w:t xml:space="preserve"> </w:t>
      </w:r>
      <w:r>
        <w:t>pupil to</w:t>
      </w:r>
      <w:r>
        <w:rPr>
          <w:spacing w:val="-3"/>
        </w:rPr>
        <w:t xml:space="preserve"> </w:t>
      </w:r>
      <w:r>
        <w:t>make</w:t>
      </w:r>
      <w:r>
        <w:rPr>
          <w:spacing w:val="-4"/>
        </w:rPr>
        <w:t xml:space="preserve"> </w:t>
      </w:r>
      <w:r>
        <w:t>a</w:t>
      </w:r>
      <w:r>
        <w:rPr>
          <w:spacing w:val="-4"/>
        </w:rPr>
        <w:t xml:space="preserve"> </w:t>
      </w:r>
      <w:r>
        <w:t>successful</w:t>
      </w:r>
      <w:r>
        <w:rPr>
          <w:spacing w:val="-2"/>
        </w:rPr>
        <w:t xml:space="preserve"> </w:t>
      </w:r>
      <w:r>
        <w:t>transition.</w:t>
      </w:r>
      <w:r>
        <w:rPr>
          <w:spacing w:val="40"/>
        </w:rPr>
        <w:t xml:space="preserve"> </w:t>
      </w:r>
      <w:r>
        <w:t>This</w:t>
      </w:r>
      <w:r>
        <w:rPr>
          <w:spacing w:val="-4"/>
        </w:rPr>
        <w:t xml:space="preserve"> </w:t>
      </w:r>
      <w:r>
        <w:t>will</w:t>
      </w:r>
      <w:r>
        <w:rPr>
          <w:spacing w:val="-2"/>
        </w:rPr>
        <w:t xml:space="preserve"> </w:t>
      </w:r>
      <w:r>
        <w:t>include</w:t>
      </w:r>
      <w:r>
        <w:rPr>
          <w:spacing w:val="-4"/>
        </w:rPr>
        <w:t xml:space="preserve"> </w:t>
      </w:r>
      <w:r>
        <w:t>a</w:t>
      </w:r>
      <w:r>
        <w:rPr>
          <w:spacing w:val="-5"/>
        </w:rPr>
        <w:t xml:space="preserve"> </w:t>
      </w:r>
      <w:r>
        <w:t>supported visit to the receiving school and may involve an extended transition period, with the pupil’s timetable at the receiving school gradually being built up and ongoing support from EOTAS.</w:t>
      </w:r>
    </w:p>
    <w:p>
      <w:pPr>
        <w:pStyle w:val="BodyText"/>
        <w:spacing w:before="160" w:line="259" w:lineRule="auto"/>
        <w:ind w:right="202"/>
      </w:pPr>
      <w:r>
        <w:t>In some cases when a pupil joins EOTAS following a permanent exclusion, it may</w:t>
      </w:r>
      <w:r>
        <w:rPr>
          <w:spacing w:val="-3"/>
        </w:rPr>
        <w:t xml:space="preserve"> </w:t>
      </w:r>
      <w:r>
        <w:t>become</w:t>
      </w:r>
      <w:r>
        <w:rPr>
          <w:spacing w:val="-4"/>
        </w:rPr>
        <w:t xml:space="preserve"> </w:t>
      </w:r>
      <w:r>
        <w:t>apparent</w:t>
      </w:r>
      <w:r>
        <w:rPr>
          <w:spacing w:val="-3"/>
        </w:rPr>
        <w:t xml:space="preserve"> </w:t>
      </w:r>
      <w:r>
        <w:t>that</w:t>
      </w:r>
      <w:r>
        <w:rPr>
          <w:spacing w:val="-3"/>
        </w:rPr>
        <w:t xml:space="preserve"> </w:t>
      </w:r>
      <w:r>
        <w:t>they</w:t>
      </w:r>
      <w:r>
        <w:rPr>
          <w:spacing w:val="-3"/>
        </w:rPr>
        <w:t xml:space="preserve"> </w:t>
      </w:r>
      <w:r>
        <w:t>have</w:t>
      </w:r>
      <w:r>
        <w:rPr>
          <w:spacing w:val="-1"/>
        </w:rPr>
        <w:t xml:space="preserve"> </w:t>
      </w:r>
      <w:r>
        <w:t>significant</w:t>
      </w:r>
      <w:r>
        <w:rPr>
          <w:spacing w:val="-6"/>
        </w:rPr>
        <w:t xml:space="preserve"> </w:t>
      </w:r>
      <w:r>
        <w:t>SEND</w:t>
      </w:r>
      <w:r>
        <w:rPr>
          <w:spacing w:val="-2"/>
        </w:rPr>
        <w:t xml:space="preserve"> </w:t>
      </w:r>
      <w:r>
        <w:t>and</w:t>
      </w:r>
      <w:r>
        <w:rPr>
          <w:spacing w:val="-1"/>
        </w:rPr>
        <w:t xml:space="preserve"> </w:t>
      </w:r>
      <w:r>
        <w:t>be</w:t>
      </w:r>
      <w:r>
        <w:rPr>
          <w:spacing w:val="-1"/>
        </w:rPr>
        <w:t xml:space="preserve"> </w:t>
      </w:r>
      <w:r>
        <w:t>felt</w:t>
      </w:r>
      <w:r>
        <w:rPr>
          <w:spacing w:val="-3"/>
        </w:rPr>
        <w:t xml:space="preserve"> </w:t>
      </w:r>
      <w:r>
        <w:t>that</w:t>
      </w:r>
      <w:r>
        <w:rPr>
          <w:spacing w:val="-1"/>
        </w:rPr>
        <w:t xml:space="preserve"> </w:t>
      </w:r>
      <w:r>
        <w:t>they are likely to need a high level of support</w:t>
      </w:r>
      <w:r>
        <w:rPr>
          <w:spacing w:val="-2"/>
        </w:rPr>
        <w:t xml:space="preserve"> </w:t>
      </w:r>
      <w:r>
        <w:t>in order to be able to reintegrate to mainstream.</w:t>
      </w:r>
      <w:r>
        <w:rPr>
          <w:spacing w:val="40"/>
        </w:rPr>
        <w:t xml:space="preserve"> </w:t>
      </w:r>
      <w:r>
        <w:t>It may be felt that the child will need a specialist placement in order to be properly supported.</w:t>
      </w:r>
      <w:r>
        <w:rPr>
          <w:spacing w:val="40"/>
        </w:rPr>
        <w:t xml:space="preserve"> </w:t>
      </w:r>
      <w:r>
        <w:t>In these cases, EOTAS will gather the information required to apply for an Education, Health and Care Needs Assessment</w:t>
      </w:r>
      <w:r>
        <w:rPr>
          <w:spacing w:val="-8"/>
        </w:rPr>
        <w:t xml:space="preserve"> </w:t>
      </w:r>
      <w:r>
        <w:t>in</w:t>
      </w:r>
      <w:r>
        <w:rPr>
          <w:spacing w:val="-3"/>
        </w:rPr>
        <w:t xml:space="preserve"> </w:t>
      </w:r>
      <w:r>
        <w:t>order</w:t>
      </w:r>
      <w:r>
        <w:rPr>
          <w:spacing w:val="-1"/>
        </w:rPr>
        <w:t xml:space="preserve"> </w:t>
      </w:r>
      <w:r>
        <w:t>to</w:t>
      </w:r>
      <w:r>
        <w:rPr>
          <w:spacing w:val="-5"/>
        </w:rPr>
        <w:t xml:space="preserve"> </w:t>
      </w:r>
      <w:r>
        <w:t>secure</w:t>
      </w:r>
      <w:r>
        <w:rPr>
          <w:spacing w:val="-3"/>
        </w:rPr>
        <w:t xml:space="preserve"> </w:t>
      </w:r>
      <w:r>
        <w:t>an</w:t>
      </w:r>
      <w:r>
        <w:rPr>
          <w:spacing w:val="-3"/>
        </w:rPr>
        <w:t xml:space="preserve"> </w:t>
      </w:r>
      <w:r>
        <w:t>Education,</w:t>
      </w:r>
      <w:r>
        <w:rPr>
          <w:spacing w:val="-5"/>
        </w:rPr>
        <w:t xml:space="preserve"> </w:t>
      </w:r>
      <w:r>
        <w:t>Health</w:t>
      </w:r>
      <w:r>
        <w:rPr>
          <w:spacing w:val="-3"/>
        </w:rPr>
        <w:t xml:space="preserve"> </w:t>
      </w:r>
      <w:r>
        <w:t>and Care</w:t>
      </w:r>
      <w:r>
        <w:rPr>
          <w:spacing w:val="-2"/>
        </w:rPr>
        <w:t xml:space="preserve"> </w:t>
      </w:r>
      <w:r>
        <w:t>Plan</w:t>
      </w:r>
      <w:r>
        <w:rPr>
          <w:spacing w:val="-3"/>
        </w:rPr>
        <w:t xml:space="preserve"> </w:t>
      </w:r>
      <w:r>
        <w:t>(EHCP)</w:t>
      </w:r>
      <w:r>
        <w:rPr>
          <w:spacing w:val="-6"/>
        </w:rPr>
        <w:t xml:space="preserve"> </w:t>
      </w:r>
      <w:r>
        <w:t>for the pupil.</w:t>
      </w:r>
      <w:r>
        <w:rPr>
          <w:spacing w:val="40"/>
        </w:rPr>
        <w:t xml:space="preserve"> </w:t>
      </w:r>
      <w:r>
        <w:t>An EHCP will outline what support the child needs in order to succeed in education.</w:t>
      </w:r>
      <w:r>
        <w:rPr>
          <w:spacing w:val="40"/>
        </w:rPr>
        <w:t xml:space="preserve"> </w:t>
      </w:r>
      <w:r>
        <w:t>Transition into mainstream or specialist provision would then be managed by the Special Educational Needs Assessment Team (SENAT.)</w:t>
      </w:r>
    </w:p>
    <w:p>
      <w:pPr>
        <w:pStyle w:val="BodyText"/>
        <w:spacing w:before="158" w:line="259" w:lineRule="auto"/>
        <w:ind w:right="4"/>
      </w:pPr>
      <w:r>
        <w:t>Where support from EOTAS is commissioned by a mainstream school (at Riverside College or Oakfield College), transition back into full time attendance at the pupil’s home school will be co-ordinated by EOTAS staff and</w:t>
      </w:r>
      <w:r>
        <w:rPr>
          <w:spacing w:val="-3"/>
        </w:rPr>
        <w:t xml:space="preserve"> </w:t>
      </w:r>
      <w:r>
        <w:t>staff</w:t>
      </w:r>
      <w:r>
        <w:rPr>
          <w:spacing w:val="-4"/>
        </w:rPr>
        <w:t xml:space="preserve"> </w:t>
      </w:r>
      <w:r>
        <w:t>from</w:t>
      </w:r>
      <w:r>
        <w:rPr>
          <w:spacing w:val="-1"/>
        </w:rPr>
        <w:t xml:space="preserve"> </w:t>
      </w:r>
      <w:r>
        <w:t>the</w:t>
      </w:r>
      <w:r>
        <w:rPr>
          <w:spacing w:val="-3"/>
        </w:rPr>
        <w:t xml:space="preserve"> </w:t>
      </w:r>
      <w:r>
        <w:t>pupil’s</w:t>
      </w:r>
      <w:r>
        <w:rPr>
          <w:spacing w:val="-3"/>
        </w:rPr>
        <w:t xml:space="preserve"> </w:t>
      </w:r>
      <w:r>
        <w:t>home</w:t>
      </w:r>
      <w:r>
        <w:rPr>
          <w:spacing w:val="-3"/>
        </w:rPr>
        <w:t xml:space="preserve"> </w:t>
      </w:r>
      <w:r>
        <w:t>school.</w:t>
      </w:r>
      <w:r>
        <w:rPr>
          <w:spacing w:val="40"/>
        </w:rPr>
        <w:t xml:space="preserve"> </w:t>
      </w:r>
      <w:r>
        <w:t>This</w:t>
      </w:r>
      <w:r>
        <w:rPr>
          <w:spacing w:val="-3"/>
        </w:rPr>
        <w:t xml:space="preserve"> </w:t>
      </w:r>
      <w:r>
        <w:t>is</w:t>
      </w:r>
      <w:r>
        <w:rPr>
          <w:spacing w:val="-5"/>
        </w:rPr>
        <w:t xml:space="preserve"> </w:t>
      </w:r>
      <w:r>
        <w:t>managed</w:t>
      </w:r>
      <w:r>
        <w:rPr>
          <w:spacing w:val="-3"/>
        </w:rPr>
        <w:t xml:space="preserve"> </w:t>
      </w:r>
      <w:r>
        <w:t>in</w:t>
      </w:r>
      <w:r>
        <w:rPr>
          <w:spacing w:val="-5"/>
        </w:rPr>
        <w:t xml:space="preserve"> </w:t>
      </w:r>
      <w:r>
        <w:t>discussion</w:t>
      </w:r>
      <w:r>
        <w:rPr>
          <w:spacing w:val="-5"/>
        </w:rPr>
        <w:t xml:space="preserve"> </w:t>
      </w:r>
      <w:r>
        <w:t>with</w:t>
      </w:r>
      <w:r>
        <w:rPr>
          <w:spacing w:val="-1"/>
        </w:rPr>
        <w:t xml:space="preserve"> </w:t>
      </w:r>
      <w:r>
        <w:t>the pupil and parents/carers and could involve a shared timetable between</w:t>
      </w:r>
    </w:p>
    <w:p>
      <w:pPr>
        <w:spacing w:line="259" w:lineRule="auto"/>
        <w:sectPr>
          <w:pgSz w:w="11910" w:h="16840"/>
          <w:pgMar w:top="1840" w:right="1320" w:bottom="280" w:left="1340" w:header="708" w:footer="0" w:gutter="0"/>
          <w:cols w:space="720"/>
        </w:sectPr>
      </w:pPr>
    </w:p>
    <w:p>
      <w:pPr>
        <w:pStyle w:val="BodyText"/>
        <w:spacing w:before="90" w:line="259" w:lineRule="auto"/>
        <w:ind w:right="143"/>
      </w:pPr>
      <w:r>
        <w:lastRenderedPageBreak/>
        <w:t>EOTAS and the home school for a time.</w:t>
      </w:r>
      <w:r>
        <w:rPr>
          <w:spacing w:val="40"/>
        </w:rPr>
        <w:t xml:space="preserve"> </w:t>
      </w:r>
      <w:r>
        <w:t>Information gathered during the pupil’s</w:t>
      </w:r>
      <w:r>
        <w:rPr>
          <w:spacing w:val="-3"/>
        </w:rPr>
        <w:t xml:space="preserve"> </w:t>
      </w:r>
      <w:r>
        <w:t>time</w:t>
      </w:r>
      <w:r>
        <w:rPr>
          <w:spacing w:val="-3"/>
        </w:rPr>
        <w:t xml:space="preserve"> </w:t>
      </w:r>
      <w:r>
        <w:t>at</w:t>
      </w:r>
      <w:r>
        <w:rPr>
          <w:spacing w:val="-7"/>
        </w:rPr>
        <w:t xml:space="preserve"> </w:t>
      </w:r>
      <w:r>
        <w:t>EOTAS</w:t>
      </w:r>
      <w:r>
        <w:rPr>
          <w:spacing w:val="-1"/>
        </w:rPr>
        <w:t xml:space="preserve"> </w:t>
      </w:r>
      <w:r>
        <w:t>will</w:t>
      </w:r>
      <w:r>
        <w:rPr>
          <w:spacing w:val="-1"/>
        </w:rPr>
        <w:t xml:space="preserve"> </w:t>
      </w:r>
      <w:r>
        <w:t>be</w:t>
      </w:r>
      <w:r>
        <w:rPr>
          <w:spacing w:val="-5"/>
        </w:rPr>
        <w:t xml:space="preserve"> </w:t>
      </w:r>
      <w:r>
        <w:t>shared</w:t>
      </w:r>
      <w:r>
        <w:rPr>
          <w:spacing w:val="-3"/>
        </w:rPr>
        <w:t xml:space="preserve"> </w:t>
      </w:r>
      <w:r>
        <w:t>with</w:t>
      </w:r>
      <w:r>
        <w:rPr>
          <w:spacing w:val="-1"/>
        </w:rPr>
        <w:t xml:space="preserve"> </w:t>
      </w:r>
      <w:r>
        <w:t>the</w:t>
      </w:r>
      <w:r>
        <w:rPr>
          <w:spacing w:val="-3"/>
        </w:rPr>
        <w:t xml:space="preserve"> </w:t>
      </w:r>
      <w:r>
        <w:t>home</w:t>
      </w:r>
      <w:r>
        <w:rPr>
          <w:spacing w:val="-4"/>
        </w:rPr>
        <w:t xml:space="preserve"> </w:t>
      </w:r>
      <w:r>
        <w:t>school.</w:t>
      </w:r>
      <w:r>
        <w:rPr>
          <w:spacing w:val="40"/>
        </w:rPr>
        <w:t xml:space="preserve"> </w:t>
      </w:r>
      <w:r>
        <w:t>This</w:t>
      </w:r>
      <w:r>
        <w:rPr>
          <w:spacing w:val="-3"/>
        </w:rPr>
        <w:t xml:space="preserve"> </w:t>
      </w:r>
      <w:r>
        <w:t>will</w:t>
      </w:r>
      <w:r>
        <w:rPr>
          <w:spacing w:val="-3"/>
        </w:rPr>
        <w:t xml:space="preserve"> </w:t>
      </w:r>
      <w:r>
        <w:t>include a Pupil Passport and Individual Risk Assessment and any professionals’ reports.</w:t>
      </w:r>
    </w:p>
    <w:p>
      <w:pPr>
        <w:pStyle w:val="BodyText"/>
        <w:spacing w:before="158" w:line="259" w:lineRule="auto"/>
        <w:ind w:right="202"/>
      </w:pPr>
      <w:r>
        <w:t>Where</w:t>
      </w:r>
      <w:r>
        <w:rPr>
          <w:spacing w:val="-3"/>
        </w:rPr>
        <w:t xml:space="preserve"> </w:t>
      </w:r>
      <w:r>
        <w:t>a</w:t>
      </w:r>
      <w:r>
        <w:rPr>
          <w:spacing w:val="-3"/>
        </w:rPr>
        <w:t xml:space="preserve"> </w:t>
      </w:r>
      <w:r>
        <w:t>pupil is</w:t>
      </w:r>
      <w:r>
        <w:rPr>
          <w:spacing w:val="-7"/>
        </w:rPr>
        <w:t xml:space="preserve"> </w:t>
      </w:r>
      <w:r>
        <w:t>with</w:t>
      </w:r>
      <w:r>
        <w:rPr>
          <w:spacing w:val="-1"/>
        </w:rPr>
        <w:t xml:space="preserve"> </w:t>
      </w:r>
      <w:r>
        <w:t>EOTAS</w:t>
      </w:r>
      <w:r>
        <w:rPr>
          <w:spacing w:val="-3"/>
        </w:rPr>
        <w:t xml:space="preserve"> </w:t>
      </w:r>
      <w:r>
        <w:t>in</w:t>
      </w:r>
      <w:r>
        <w:rPr>
          <w:spacing w:val="-3"/>
        </w:rPr>
        <w:t xml:space="preserve"> </w:t>
      </w:r>
      <w:r>
        <w:t>Year</w:t>
      </w:r>
      <w:r>
        <w:rPr>
          <w:spacing w:val="-3"/>
        </w:rPr>
        <w:t xml:space="preserve"> </w:t>
      </w:r>
      <w:r>
        <w:t>11,</w:t>
      </w:r>
      <w:r>
        <w:rPr>
          <w:spacing w:val="-2"/>
        </w:rPr>
        <w:t xml:space="preserve"> </w:t>
      </w:r>
      <w:r>
        <w:t>transition</w:t>
      </w:r>
      <w:r>
        <w:rPr>
          <w:spacing w:val="-1"/>
        </w:rPr>
        <w:t xml:space="preserve"> </w:t>
      </w:r>
      <w:r>
        <w:t>to</w:t>
      </w:r>
      <w:r>
        <w:rPr>
          <w:spacing w:val="-5"/>
        </w:rPr>
        <w:t xml:space="preserve"> </w:t>
      </w:r>
      <w:r>
        <w:t>Post-16</w:t>
      </w:r>
      <w:r>
        <w:rPr>
          <w:spacing w:val="-4"/>
        </w:rPr>
        <w:t xml:space="preserve"> </w:t>
      </w:r>
      <w:r>
        <w:t>is</w:t>
      </w:r>
      <w:r>
        <w:rPr>
          <w:spacing w:val="-3"/>
        </w:rPr>
        <w:t xml:space="preserve"> </w:t>
      </w:r>
      <w:r>
        <w:t>supported</w:t>
      </w:r>
      <w:r>
        <w:rPr>
          <w:spacing w:val="-3"/>
        </w:rPr>
        <w:t xml:space="preserve"> </w:t>
      </w:r>
      <w:r>
        <w:t>by</w:t>
      </w:r>
      <w:r>
        <w:rPr>
          <w:spacing w:val="-5"/>
        </w:rPr>
        <w:t xml:space="preserve"> </w:t>
      </w:r>
      <w:r>
        <w:t>an experienced Transitions Lead.</w:t>
      </w:r>
      <w:r>
        <w:rPr>
          <w:spacing w:val="40"/>
        </w:rPr>
        <w:t xml:space="preserve"> </w:t>
      </w:r>
      <w:r>
        <w:t>Transition work is carried out throughout Key Stage</w:t>
      </w:r>
      <w:r>
        <w:rPr>
          <w:spacing w:val="-1"/>
        </w:rPr>
        <w:t xml:space="preserve"> </w:t>
      </w:r>
      <w:r>
        <w:t>4,</w:t>
      </w:r>
      <w:r>
        <w:rPr>
          <w:spacing w:val="-3"/>
        </w:rPr>
        <w:t xml:space="preserve"> </w:t>
      </w:r>
      <w:r>
        <w:t>including</w:t>
      </w:r>
      <w:r>
        <w:rPr>
          <w:spacing w:val="-1"/>
        </w:rPr>
        <w:t xml:space="preserve"> </w:t>
      </w:r>
      <w:r>
        <w:t>the</w:t>
      </w:r>
      <w:r>
        <w:rPr>
          <w:spacing w:val="-1"/>
        </w:rPr>
        <w:t xml:space="preserve"> </w:t>
      </w:r>
      <w:r>
        <w:t>opportunity to</w:t>
      </w:r>
      <w:r>
        <w:rPr>
          <w:spacing w:val="-3"/>
        </w:rPr>
        <w:t xml:space="preserve"> </w:t>
      </w:r>
      <w:r>
        <w:t>participate</w:t>
      </w:r>
      <w:r>
        <w:rPr>
          <w:spacing w:val="-1"/>
        </w:rPr>
        <w:t xml:space="preserve"> </w:t>
      </w:r>
      <w:r>
        <w:t>in</w:t>
      </w:r>
      <w:r>
        <w:rPr>
          <w:spacing w:val="-1"/>
        </w:rPr>
        <w:t xml:space="preserve"> </w:t>
      </w:r>
      <w:r>
        <w:t>weekly</w:t>
      </w:r>
      <w:r>
        <w:rPr>
          <w:spacing w:val="-3"/>
        </w:rPr>
        <w:t xml:space="preserve"> </w:t>
      </w:r>
      <w:r>
        <w:t>college</w:t>
      </w:r>
      <w:r>
        <w:rPr>
          <w:spacing w:val="-1"/>
        </w:rPr>
        <w:t xml:space="preserve"> </w:t>
      </w:r>
      <w:r>
        <w:t>carousels, visits to colleges, visits from college staff and careers talks, work visits and regular meetings with career mentor.</w:t>
      </w:r>
      <w:r>
        <w:rPr>
          <w:spacing w:val="40"/>
        </w:rPr>
        <w:t xml:space="preserve"> </w:t>
      </w:r>
      <w:r>
        <w:t>Pupils are supported to submit applications and to attend college interviews.</w:t>
      </w:r>
    </w:p>
    <w:p>
      <w:pPr>
        <w:pStyle w:val="BodyText"/>
        <w:spacing w:before="160" w:line="259" w:lineRule="auto"/>
        <w:ind w:right="143"/>
      </w:pPr>
      <w:r>
        <w:t>Information gathered while a pupil has been at EOTAS is shared with the receiving</w:t>
      </w:r>
      <w:r>
        <w:rPr>
          <w:spacing w:val="-6"/>
        </w:rPr>
        <w:t xml:space="preserve"> </w:t>
      </w:r>
      <w:r>
        <w:t>college.</w:t>
      </w:r>
      <w:r>
        <w:rPr>
          <w:spacing w:val="40"/>
        </w:rPr>
        <w:t xml:space="preserve"> </w:t>
      </w:r>
      <w:r>
        <w:t>Where</w:t>
      </w:r>
      <w:r>
        <w:rPr>
          <w:spacing w:val="-4"/>
        </w:rPr>
        <w:t xml:space="preserve"> </w:t>
      </w:r>
      <w:r>
        <w:t>necessary,</w:t>
      </w:r>
      <w:r>
        <w:rPr>
          <w:spacing w:val="-6"/>
        </w:rPr>
        <w:t xml:space="preserve"> </w:t>
      </w:r>
      <w:r>
        <w:t>a</w:t>
      </w:r>
      <w:r>
        <w:rPr>
          <w:spacing w:val="-4"/>
        </w:rPr>
        <w:t xml:space="preserve"> </w:t>
      </w:r>
      <w:r>
        <w:t>meeting</w:t>
      </w:r>
      <w:r>
        <w:rPr>
          <w:spacing w:val="-5"/>
        </w:rPr>
        <w:t xml:space="preserve"> </w:t>
      </w:r>
      <w:r>
        <w:t>will</w:t>
      </w:r>
      <w:r>
        <w:rPr>
          <w:spacing w:val="-2"/>
        </w:rPr>
        <w:t xml:space="preserve"> </w:t>
      </w:r>
      <w:r>
        <w:t>be</w:t>
      </w:r>
      <w:r>
        <w:rPr>
          <w:spacing w:val="-4"/>
        </w:rPr>
        <w:t xml:space="preserve"> </w:t>
      </w:r>
      <w:r>
        <w:t>arranged</w:t>
      </w:r>
      <w:r>
        <w:rPr>
          <w:spacing w:val="-5"/>
        </w:rPr>
        <w:t xml:space="preserve"> </w:t>
      </w:r>
      <w:r>
        <w:t>with</w:t>
      </w:r>
      <w:r>
        <w:rPr>
          <w:spacing w:val="-2"/>
        </w:rPr>
        <w:t xml:space="preserve"> </w:t>
      </w:r>
      <w:r>
        <w:t>the</w:t>
      </w:r>
    </w:p>
    <w:p>
      <w:pPr>
        <w:pStyle w:val="BodyText"/>
        <w:spacing w:line="259" w:lineRule="auto"/>
        <w:ind w:right="143"/>
      </w:pPr>
      <w:r>
        <w:t>receiving</w:t>
      </w:r>
      <w:r>
        <w:rPr>
          <w:spacing w:val="-5"/>
        </w:rPr>
        <w:t xml:space="preserve"> </w:t>
      </w:r>
      <w:r>
        <w:t>college</w:t>
      </w:r>
      <w:r>
        <w:rPr>
          <w:spacing w:val="-3"/>
        </w:rPr>
        <w:t xml:space="preserve"> </w:t>
      </w:r>
      <w:r>
        <w:t>to</w:t>
      </w:r>
      <w:r>
        <w:rPr>
          <w:spacing w:val="-5"/>
        </w:rPr>
        <w:t xml:space="preserve"> </w:t>
      </w:r>
      <w:r>
        <w:t>discuss</w:t>
      </w:r>
      <w:r>
        <w:rPr>
          <w:spacing w:val="-3"/>
        </w:rPr>
        <w:t xml:space="preserve"> </w:t>
      </w:r>
      <w:r>
        <w:t>a</w:t>
      </w:r>
      <w:r>
        <w:rPr>
          <w:spacing w:val="-4"/>
        </w:rPr>
        <w:t xml:space="preserve"> </w:t>
      </w:r>
      <w:r>
        <w:t>pupil’s</w:t>
      </w:r>
      <w:r>
        <w:rPr>
          <w:spacing w:val="-3"/>
        </w:rPr>
        <w:t xml:space="preserve"> </w:t>
      </w:r>
      <w:r>
        <w:t>interests,</w:t>
      </w:r>
      <w:r>
        <w:rPr>
          <w:spacing w:val="-5"/>
        </w:rPr>
        <w:t xml:space="preserve"> </w:t>
      </w:r>
      <w:r>
        <w:t>strengths,</w:t>
      </w:r>
      <w:r>
        <w:rPr>
          <w:spacing w:val="-5"/>
        </w:rPr>
        <w:t xml:space="preserve"> </w:t>
      </w:r>
      <w:r>
        <w:t>needs</w:t>
      </w:r>
      <w:r>
        <w:rPr>
          <w:spacing w:val="-3"/>
        </w:rPr>
        <w:t xml:space="preserve"> </w:t>
      </w:r>
      <w:r>
        <w:t>and</w:t>
      </w:r>
      <w:r>
        <w:rPr>
          <w:spacing w:val="-3"/>
        </w:rPr>
        <w:t xml:space="preserve"> </w:t>
      </w:r>
      <w:r>
        <w:t>how</w:t>
      </w:r>
      <w:r>
        <w:rPr>
          <w:spacing w:val="-4"/>
        </w:rPr>
        <w:t xml:space="preserve"> </w:t>
      </w:r>
      <w:r>
        <w:t>best to support them.</w:t>
      </w:r>
    </w:p>
    <w:p>
      <w:pPr>
        <w:pStyle w:val="BodyText"/>
        <w:ind w:left="0"/>
      </w:pPr>
    </w:p>
    <w:p>
      <w:pPr>
        <w:pStyle w:val="BodyText"/>
        <w:spacing w:before="49"/>
        <w:ind w:left="0"/>
      </w:pPr>
    </w:p>
    <w:p>
      <w:pPr>
        <w:pStyle w:val="Heading1"/>
      </w:pPr>
      <w:r>
        <w:t>How</w:t>
      </w:r>
      <w:r>
        <w:rPr>
          <w:spacing w:val="-6"/>
        </w:rPr>
        <w:t xml:space="preserve"> </w:t>
      </w:r>
      <w:r>
        <w:t>is</w:t>
      </w:r>
      <w:r>
        <w:rPr>
          <w:spacing w:val="-3"/>
        </w:rPr>
        <w:t xml:space="preserve"> </w:t>
      </w:r>
      <w:r>
        <w:t>the</w:t>
      </w:r>
      <w:r>
        <w:rPr>
          <w:spacing w:val="-7"/>
        </w:rPr>
        <w:t xml:space="preserve"> </w:t>
      </w:r>
      <w:r>
        <w:t>effectiveness</w:t>
      </w:r>
      <w:r>
        <w:rPr>
          <w:spacing w:val="-4"/>
        </w:rPr>
        <w:t xml:space="preserve"> </w:t>
      </w:r>
      <w:r>
        <w:t>of</w:t>
      </w:r>
      <w:r>
        <w:rPr>
          <w:spacing w:val="-5"/>
        </w:rPr>
        <w:t xml:space="preserve"> </w:t>
      </w:r>
      <w:r>
        <w:t>SEND</w:t>
      </w:r>
      <w:r>
        <w:rPr>
          <w:spacing w:val="-5"/>
        </w:rPr>
        <w:t xml:space="preserve"> </w:t>
      </w:r>
      <w:r>
        <w:t>Support</w:t>
      </w:r>
      <w:r>
        <w:rPr>
          <w:spacing w:val="-4"/>
        </w:rPr>
        <w:t xml:space="preserve"> </w:t>
      </w:r>
      <w:r>
        <w:rPr>
          <w:spacing w:val="-2"/>
        </w:rPr>
        <w:t>reviewed?</w:t>
      </w:r>
    </w:p>
    <w:p>
      <w:pPr>
        <w:pStyle w:val="BodyText"/>
        <w:spacing w:before="187" w:line="259" w:lineRule="auto"/>
        <w:ind w:right="143"/>
      </w:pPr>
      <w:r>
        <w:t>The SEND Team monitors the progress that pupils make with support and intervention</w:t>
      </w:r>
      <w:r>
        <w:rPr>
          <w:spacing w:val="-4"/>
        </w:rPr>
        <w:t xml:space="preserve"> </w:t>
      </w:r>
      <w:r>
        <w:t>in</w:t>
      </w:r>
      <w:r>
        <w:rPr>
          <w:spacing w:val="-4"/>
        </w:rPr>
        <w:t xml:space="preserve"> </w:t>
      </w:r>
      <w:r>
        <w:t>place</w:t>
      </w:r>
      <w:r>
        <w:rPr>
          <w:spacing w:val="-6"/>
        </w:rPr>
        <w:t xml:space="preserve"> </w:t>
      </w:r>
      <w:r>
        <w:t>and</w:t>
      </w:r>
      <w:r>
        <w:rPr>
          <w:spacing w:val="-4"/>
        </w:rPr>
        <w:t xml:space="preserve"> </w:t>
      </w:r>
      <w:r>
        <w:t>adjusts</w:t>
      </w:r>
      <w:r>
        <w:rPr>
          <w:spacing w:val="-4"/>
        </w:rPr>
        <w:t xml:space="preserve"> </w:t>
      </w:r>
      <w:r>
        <w:t>support</w:t>
      </w:r>
      <w:r>
        <w:rPr>
          <w:spacing w:val="-4"/>
        </w:rPr>
        <w:t xml:space="preserve"> </w:t>
      </w:r>
      <w:r>
        <w:t>offered</w:t>
      </w:r>
      <w:r>
        <w:rPr>
          <w:spacing w:val="-4"/>
        </w:rPr>
        <w:t xml:space="preserve"> </w:t>
      </w:r>
      <w:r>
        <w:t>based</w:t>
      </w:r>
      <w:r>
        <w:rPr>
          <w:spacing w:val="-4"/>
        </w:rPr>
        <w:t xml:space="preserve"> </w:t>
      </w:r>
      <w:r>
        <w:t>on</w:t>
      </w:r>
      <w:r>
        <w:rPr>
          <w:spacing w:val="-4"/>
        </w:rPr>
        <w:t xml:space="preserve"> </w:t>
      </w:r>
      <w:r>
        <w:t>effectiveness.</w:t>
      </w:r>
      <w:r>
        <w:rPr>
          <w:spacing w:val="40"/>
        </w:rPr>
        <w:t xml:space="preserve"> </w:t>
      </w:r>
      <w:r>
        <w:t>The effectiveness of SEND Support is formally reviewed three times a year in line with pupil progress reviews and recommendations around how the offer should be adjusted are made to the Senior Leadership Team.</w:t>
      </w:r>
    </w:p>
    <w:p>
      <w:pPr>
        <w:pStyle w:val="BodyText"/>
        <w:ind w:left="0"/>
      </w:pPr>
    </w:p>
    <w:p>
      <w:pPr>
        <w:pStyle w:val="BodyText"/>
        <w:spacing w:before="48"/>
        <w:ind w:left="0"/>
      </w:pPr>
    </w:p>
    <w:p>
      <w:pPr>
        <w:pStyle w:val="Heading1"/>
        <w:spacing w:line="259" w:lineRule="auto"/>
        <w:ind w:right="228"/>
      </w:pPr>
      <w:r>
        <w:t>How</w:t>
      </w:r>
      <w:r>
        <w:rPr>
          <w:spacing w:val="-2"/>
        </w:rPr>
        <w:t xml:space="preserve"> </w:t>
      </w:r>
      <w:r>
        <w:t>can</w:t>
      </w:r>
      <w:r>
        <w:rPr>
          <w:spacing w:val="-6"/>
        </w:rPr>
        <w:t xml:space="preserve"> </w:t>
      </w:r>
      <w:r>
        <w:t>I</w:t>
      </w:r>
      <w:r>
        <w:rPr>
          <w:spacing w:val="-3"/>
        </w:rPr>
        <w:t xml:space="preserve"> </w:t>
      </w:r>
      <w:r>
        <w:t>complain</w:t>
      </w:r>
      <w:r>
        <w:rPr>
          <w:spacing w:val="-3"/>
        </w:rPr>
        <w:t xml:space="preserve"> </w:t>
      </w:r>
      <w:r>
        <w:t>if</w:t>
      </w:r>
      <w:r>
        <w:rPr>
          <w:spacing w:val="-2"/>
        </w:rPr>
        <w:t xml:space="preserve"> </w:t>
      </w:r>
      <w:r>
        <w:t>I</w:t>
      </w:r>
      <w:r>
        <w:rPr>
          <w:spacing w:val="-3"/>
        </w:rPr>
        <w:t xml:space="preserve"> </w:t>
      </w:r>
      <w:r>
        <w:t>am</w:t>
      </w:r>
      <w:r>
        <w:rPr>
          <w:spacing w:val="-2"/>
        </w:rPr>
        <w:t xml:space="preserve"> </w:t>
      </w:r>
      <w:r>
        <w:t>unhappy</w:t>
      </w:r>
      <w:r>
        <w:rPr>
          <w:spacing w:val="-2"/>
        </w:rPr>
        <w:t xml:space="preserve"> </w:t>
      </w:r>
      <w:r>
        <w:t>with</w:t>
      </w:r>
      <w:r>
        <w:rPr>
          <w:spacing w:val="-6"/>
        </w:rPr>
        <w:t xml:space="preserve"> </w:t>
      </w:r>
      <w:r>
        <w:t>the</w:t>
      </w:r>
      <w:r>
        <w:rPr>
          <w:spacing w:val="-4"/>
        </w:rPr>
        <w:t xml:space="preserve"> </w:t>
      </w:r>
      <w:r>
        <w:t>SEND</w:t>
      </w:r>
      <w:r>
        <w:rPr>
          <w:spacing w:val="-4"/>
        </w:rPr>
        <w:t xml:space="preserve"> </w:t>
      </w:r>
      <w:r>
        <w:t>Support</w:t>
      </w:r>
      <w:r>
        <w:rPr>
          <w:spacing w:val="-3"/>
        </w:rPr>
        <w:t xml:space="preserve"> </w:t>
      </w:r>
      <w:r>
        <w:t>that</w:t>
      </w:r>
      <w:bookmarkStart w:id="2" w:name="_GoBack"/>
      <w:bookmarkEnd w:id="2"/>
      <w:r>
        <w:t xml:space="preserve"> my child receives?</w:t>
      </w:r>
    </w:p>
    <w:p>
      <w:pPr>
        <w:pStyle w:val="BodyText"/>
        <w:spacing w:before="158" w:line="259" w:lineRule="auto"/>
        <w:ind w:right="143"/>
      </w:pPr>
      <w:r>
        <w:t>If</w:t>
      </w:r>
      <w:r>
        <w:rPr>
          <w:spacing w:val="-4"/>
        </w:rPr>
        <w:t xml:space="preserve"> </w:t>
      </w:r>
      <w:r>
        <w:t>you</w:t>
      </w:r>
      <w:r>
        <w:rPr>
          <w:spacing w:val="-2"/>
        </w:rPr>
        <w:t xml:space="preserve"> </w:t>
      </w:r>
      <w:r>
        <w:t>are</w:t>
      </w:r>
      <w:r>
        <w:rPr>
          <w:spacing w:val="-3"/>
        </w:rPr>
        <w:t xml:space="preserve"> </w:t>
      </w:r>
      <w:r>
        <w:t>unhappy,</w:t>
      </w:r>
      <w:r>
        <w:rPr>
          <w:spacing w:val="-5"/>
        </w:rPr>
        <w:t xml:space="preserve"> </w:t>
      </w:r>
      <w:r>
        <w:t>in</w:t>
      </w:r>
      <w:r>
        <w:rPr>
          <w:spacing w:val="-1"/>
        </w:rPr>
        <w:t xml:space="preserve"> </w:t>
      </w:r>
      <w:r>
        <w:t>the</w:t>
      </w:r>
      <w:r>
        <w:rPr>
          <w:spacing w:val="-1"/>
        </w:rPr>
        <w:t xml:space="preserve"> </w:t>
      </w:r>
      <w:r>
        <w:t>first</w:t>
      </w:r>
      <w:r>
        <w:rPr>
          <w:spacing w:val="-7"/>
        </w:rPr>
        <w:t xml:space="preserve"> </w:t>
      </w:r>
      <w:r>
        <w:t>instance,</w:t>
      </w:r>
      <w:r>
        <w:rPr>
          <w:spacing w:val="-5"/>
        </w:rPr>
        <w:t xml:space="preserve"> </w:t>
      </w:r>
      <w:r>
        <w:t>you</w:t>
      </w:r>
      <w:r>
        <w:rPr>
          <w:spacing w:val="-2"/>
        </w:rPr>
        <w:t xml:space="preserve"> </w:t>
      </w:r>
      <w:r>
        <w:t>should</w:t>
      </w:r>
      <w:r>
        <w:rPr>
          <w:spacing w:val="-5"/>
        </w:rPr>
        <w:t xml:space="preserve"> </w:t>
      </w:r>
      <w:r>
        <w:t>talk</w:t>
      </w:r>
      <w:r>
        <w:rPr>
          <w:spacing w:val="-3"/>
        </w:rPr>
        <w:t xml:space="preserve"> </w:t>
      </w:r>
      <w:r>
        <w:t>to</w:t>
      </w:r>
      <w:r>
        <w:rPr>
          <w:spacing w:val="-5"/>
        </w:rPr>
        <w:t xml:space="preserve"> </w:t>
      </w:r>
      <w:r>
        <w:t>your</w:t>
      </w:r>
      <w:r>
        <w:rPr>
          <w:spacing w:val="-3"/>
        </w:rPr>
        <w:t xml:space="preserve"> </w:t>
      </w:r>
      <w:r>
        <w:t>child’s</w:t>
      </w:r>
      <w:r>
        <w:rPr>
          <w:spacing w:val="-3"/>
        </w:rPr>
        <w:t xml:space="preserve"> </w:t>
      </w:r>
      <w:r>
        <w:t>tutor, who can talk to the SEND Team.</w:t>
      </w:r>
    </w:p>
    <w:p>
      <w:pPr>
        <w:pStyle w:val="BodyText"/>
        <w:spacing w:before="161" w:line="259" w:lineRule="auto"/>
        <w:ind w:right="143"/>
      </w:pPr>
      <w:r>
        <w:t>If</w:t>
      </w:r>
      <w:r>
        <w:rPr>
          <w:spacing w:val="-4"/>
        </w:rPr>
        <w:t xml:space="preserve"> </w:t>
      </w:r>
      <w:r>
        <w:t>you</w:t>
      </w:r>
      <w:r>
        <w:rPr>
          <w:spacing w:val="-2"/>
        </w:rPr>
        <w:t xml:space="preserve"> </w:t>
      </w:r>
      <w:r>
        <w:t>are</w:t>
      </w:r>
      <w:r>
        <w:rPr>
          <w:spacing w:val="-3"/>
        </w:rPr>
        <w:t xml:space="preserve"> </w:t>
      </w:r>
      <w:r>
        <w:t>still</w:t>
      </w:r>
      <w:r>
        <w:rPr>
          <w:spacing w:val="-1"/>
        </w:rPr>
        <w:t xml:space="preserve"> </w:t>
      </w:r>
      <w:r>
        <w:t>unhappy,</w:t>
      </w:r>
      <w:r>
        <w:rPr>
          <w:spacing w:val="-5"/>
        </w:rPr>
        <w:t xml:space="preserve"> </w:t>
      </w:r>
      <w:r>
        <w:t>you</w:t>
      </w:r>
      <w:r>
        <w:rPr>
          <w:spacing w:val="-2"/>
        </w:rPr>
        <w:t xml:space="preserve"> </w:t>
      </w:r>
      <w:r>
        <w:t>can</w:t>
      </w:r>
      <w:r>
        <w:rPr>
          <w:spacing w:val="-3"/>
        </w:rPr>
        <w:t xml:space="preserve"> </w:t>
      </w:r>
      <w:r>
        <w:t>contact</w:t>
      </w:r>
      <w:r>
        <w:rPr>
          <w:spacing w:val="-3"/>
        </w:rPr>
        <w:t xml:space="preserve"> </w:t>
      </w:r>
      <w:r>
        <w:t>the</w:t>
      </w:r>
      <w:r>
        <w:rPr>
          <w:spacing w:val="-3"/>
        </w:rPr>
        <w:t xml:space="preserve"> </w:t>
      </w:r>
      <w:r>
        <w:t>SENCo</w:t>
      </w:r>
      <w:r>
        <w:rPr>
          <w:spacing w:val="-5"/>
        </w:rPr>
        <w:t xml:space="preserve"> </w:t>
      </w:r>
      <w:r>
        <w:t>using</w:t>
      </w:r>
      <w:r>
        <w:rPr>
          <w:spacing w:val="-1"/>
        </w:rPr>
        <w:t xml:space="preserve"> </w:t>
      </w:r>
      <w:r>
        <w:t>the</w:t>
      </w:r>
      <w:r>
        <w:rPr>
          <w:spacing w:val="-1"/>
        </w:rPr>
        <w:t xml:space="preserve"> </w:t>
      </w:r>
      <w:r>
        <w:t>contact</w:t>
      </w:r>
      <w:r>
        <w:rPr>
          <w:spacing w:val="-8"/>
        </w:rPr>
        <w:t xml:space="preserve"> </w:t>
      </w:r>
      <w:r>
        <w:t>details at the top of this report.</w:t>
      </w:r>
    </w:p>
    <w:p>
      <w:pPr>
        <w:pStyle w:val="BodyText"/>
        <w:spacing w:before="159" w:line="259" w:lineRule="auto"/>
        <w:ind w:right="143"/>
      </w:pPr>
      <w:r>
        <w:t>If you feel your concerns are unresolved, you should follow the EOTAS complaints</w:t>
      </w:r>
      <w:r>
        <w:rPr>
          <w:spacing w:val="-5"/>
        </w:rPr>
        <w:t xml:space="preserve"> </w:t>
      </w:r>
      <w:r>
        <w:t>procedure,</w:t>
      </w:r>
      <w:r>
        <w:rPr>
          <w:spacing w:val="-6"/>
        </w:rPr>
        <w:t xml:space="preserve"> </w:t>
      </w:r>
      <w:r>
        <w:t>which</w:t>
      </w:r>
      <w:r>
        <w:rPr>
          <w:spacing w:val="-5"/>
        </w:rPr>
        <w:t xml:space="preserve"> </w:t>
      </w:r>
      <w:r>
        <w:t>are</w:t>
      </w:r>
      <w:r>
        <w:rPr>
          <w:spacing w:val="-5"/>
        </w:rPr>
        <w:t xml:space="preserve"> </w:t>
      </w:r>
      <w:r>
        <w:t>outlined</w:t>
      </w:r>
      <w:r>
        <w:rPr>
          <w:spacing w:val="-5"/>
        </w:rPr>
        <w:t xml:space="preserve"> </w:t>
      </w:r>
      <w:r>
        <w:t>on</w:t>
      </w:r>
      <w:r>
        <w:rPr>
          <w:spacing w:val="-5"/>
        </w:rPr>
        <w:t xml:space="preserve"> </w:t>
      </w:r>
      <w:r>
        <w:t>the</w:t>
      </w:r>
      <w:r>
        <w:rPr>
          <w:spacing w:val="-5"/>
        </w:rPr>
        <w:t xml:space="preserve"> </w:t>
      </w:r>
      <w:r>
        <w:t>EOTAS</w:t>
      </w:r>
      <w:r>
        <w:rPr>
          <w:spacing w:val="-5"/>
        </w:rPr>
        <w:t xml:space="preserve"> </w:t>
      </w:r>
      <w:r>
        <w:t>Swindon</w:t>
      </w:r>
      <w:r>
        <w:rPr>
          <w:spacing w:val="-5"/>
        </w:rPr>
        <w:t xml:space="preserve"> </w:t>
      </w:r>
      <w:r>
        <w:t>website:</w:t>
      </w:r>
    </w:p>
    <w:p>
      <w:pPr>
        <w:pStyle w:val="BodyText"/>
        <w:spacing w:before="159"/>
      </w:pPr>
      <w:hyperlink r:id="rId10">
        <w:r>
          <w:rPr>
            <w:color w:val="0462C1"/>
            <w:spacing w:val="-2"/>
            <w:u w:val="single" w:color="0462C1"/>
          </w:rPr>
          <w:t>https://www.eotas.org/complaints-procedure</w:t>
        </w:r>
      </w:hyperlink>
    </w:p>
    <w:p/>
    <w:sectPr>
      <w:headerReference w:type="even" r:id="rId11"/>
      <w:headerReference w:type="default" r:id="rId12"/>
      <w:footerReference w:type="even" r:id="rId13"/>
      <w:footerReference w:type="default" r:id="rId14"/>
      <w:headerReference w:type="first" r:id="rId15"/>
      <w:footerReference w:type="first" r:id="rId16"/>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BodyText"/>
      <w:spacing w:line="14" w:lineRule="auto"/>
      <w:ind w:left="0"/>
      <w:rPr>
        <w:sz w:val="20"/>
      </w:rPr>
    </w:pPr>
    <w:r>
      <w:rPr>
        <w:noProof/>
      </w:rPr>
      <w:drawing>
        <wp:anchor distT="0" distB="0" distL="0" distR="0" simplePos="0" relativeHeight="251662336" behindDoc="1" locked="0" layoutInCell="1" allowOverlap="1">
          <wp:simplePos x="0" y="0"/>
          <wp:positionH relativeFrom="page">
            <wp:posOffset>4550409</wp:posOffset>
          </wp:positionH>
          <wp:positionV relativeFrom="page">
            <wp:posOffset>449579</wp:posOffset>
          </wp:positionV>
          <wp:extent cx="2087880" cy="61214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087880" cy="61214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78454" o:spid="_x0000_s2056" type="#_x0000_t75" style="position:absolute;margin-left:0;margin-top:0;width:595.2pt;height:841.9pt;z-index:-251657216;mso-position-horizontal:center;mso-position-horizontal-relative:margin;mso-position-vertical:center;mso-position-vertical-relative:margin" o:allowincell="f">
          <v:imagedata r:id="rId1" o:title="Watermark"/>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78455" o:spid="_x0000_s2057" type="#_x0000_t75" style="position:absolute;margin-left:0;margin-top:0;width:595.2pt;height:841.9pt;z-index:-251656192;mso-position-horizontal:center;mso-position-horizontal-relative:margin;mso-position-vertical:center;mso-position-vertical-relative:margin" o:allowincell="f">
          <v:imagedata r:id="rId1" o:title="Watermark"/>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78453" o:spid="_x0000_s2055" type="#_x0000_t75" style="position:absolute;margin-left:0;margin-top:0;width:595.2pt;height:841.9pt;z-index:-251658240;mso-position-horizontal:center;mso-position-horizontal-relative:margin;mso-position-vertical:center;mso-position-vertical-relative:margin" o:allowincell="f">
          <v:imagedata r:id="rId1" o:title="Watermar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3D1A708C"/>
    <w:lvl w:ilvl="0">
      <w:start w:val="1"/>
      <w:numFmt w:val="decimal"/>
      <w:lvlText w:val="%1."/>
      <w:lvlJc w:val="left"/>
      <w:pPr>
        <w:ind w:left="593" w:hanging="360"/>
      </w:pPr>
      <w:rPr>
        <w:rFonts w:cs="Times New Roman"/>
        <w:spacing w:val="-2"/>
        <w:w w:val="100"/>
      </w:rPr>
    </w:lvl>
    <w:lvl w:ilvl="1">
      <w:start w:val="1"/>
      <w:numFmt w:val="bullet"/>
      <w:lvlText w:val=""/>
      <w:lvlJc w:val="left"/>
      <w:pPr>
        <w:ind w:left="1025" w:hanging="432"/>
      </w:pPr>
      <w:rPr>
        <w:rFonts w:ascii="Symbol" w:hAnsi="Symbol" w:hint="default"/>
        <w:b w:val="0"/>
        <w:i w:val="0"/>
        <w:w w:val="100"/>
        <w:sz w:val="22"/>
      </w:rPr>
    </w:lvl>
    <w:lvl w:ilvl="2">
      <w:numFmt w:val="bullet"/>
      <w:lvlText w:val="•"/>
      <w:lvlJc w:val="left"/>
      <w:pPr>
        <w:ind w:left="2075" w:hanging="432"/>
      </w:pPr>
    </w:lvl>
    <w:lvl w:ilvl="3">
      <w:numFmt w:val="bullet"/>
      <w:lvlText w:val="•"/>
      <w:lvlJc w:val="left"/>
      <w:pPr>
        <w:ind w:left="3131" w:hanging="432"/>
      </w:pPr>
    </w:lvl>
    <w:lvl w:ilvl="4">
      <w:numFmt w:val="bullet"/>
      <w:lvlText w:val="•"/>
      <w:lvlJc w:val="left"/>
      <w:pPr>
        <w:ind w:left="4186" w:hanging="432"/>
      </w:pPr>
    </w:lvl>
    <w:lvl w:ilvl="5">
      <w:numFmt w:val="bullet"/>
      <w:lvlText w:val="•"/>
      <w:lvlJc w:val="left"/>
      <w:pPr>
        <w:ind w:left="5242" w:hanging="432"/>
      </w:pPr>
    </w:lvl>
    <w:lvl w:ilvl="6">
      <w:numFmt w:val="bullet"/>
      <w:lvlText w:val="•"/>
      <w:lvlJc w:val="left"/>
      <w:pPr>
        <w:ind w:left="6297" w:hanging="432"/>
      </w:pPr>
    </w:lvl>
    <w:lvl w:ilvl="7">
      <w:numFmt w:val="bullet"/>
      <w:lvlText w:val="•"/>
      <w:lvlJc w:val="left"/>
      <w:pPr>
        <w:ind w:left="7353" w:hanging="432"/>
      </w:pPr>
    </w:lvl>
    <w:lvl w:ilvl="8">
      <w:numFmt w:val="bullet"/>
      <w:lvlText w:val="•"/>
      <w:lvlJc w:val="left"/>
      <w:pPr>
        <w:ind w:left="8408" w:hanging="432"/>
      </w:pPr>
    </w:lvl>
  </w:abstractNum>
  <w:abstractNum w:abstractNumId="1" w15:restartNumberingAfterBreak="0">
    <w:nsid w:val="00000405"/>
    <w:multiLevelType w:val="multilevel"/>
    <w:tmpl w:val="00000888"/>
    <w:lvl w:ilvl="0">
      <w:numFmt w:val="bullet"/>
      <w:lvlText w:val=""/>
      <w:lvlJc w:val="left"/>
      <w:pPr>
        <w:ind w:left="953" w:hanging="360"/>
      </w:pPr>
      <w:rPr>
        <w:rFonts w:ascii="Symbol" w:hAnsi="Symbol"/>
        <w:b w:val="0"/>
        <w:i w:val="0"/>
        <w:w w:val="100"/>
        <w:sz w:val="22"/>
      </w:rPr>
    </w:lvl>
    <w:lvl w:ilvl="1">
      <w:numFmt w:val="bullet"/>
      <w:lvlText w:val="•"/>
      <w:lvlJc w:val="left"/>
      <w:pPr>
        <w:ind w:left="1916" w:hanging="360"/>
      </w:pPr>
    </w:lvl>
    <w:lvl w:ilvl="2">
      <w:numFmt w:val="bullet"/>
      <w:lvlText w:val="•"/>
      <w:lvlJc w:val="left"/>
      <w:pPr>
        <w:ind w:left="2872" w:hanging="360"/>
      </w:pPr>
    </w:lvl>
    <w:lvl w:ilvl="3">
      <w:numFmt w:val="bullet"/>
      <w:lvlText w:val="•"/>
      <w:lvlJc w:val="left"/>
      <w:pPr>
        <w:ind w:left="3828" w:hanging="360"/>
      </w:pPr>
    </w:lvl>
    <w:lvl w:ilvl="4">
      <w:numFmt w:val="bullet"/>
      <w:lvlText w:val="•"/>
      <w:lvlJc w:val="left"/>
      <w:pPr>
        <w:ind w:left="4784" w:hanging="360"/>
      </w:pPr>
    </w:lvl>
    <w:lvl w:ilvl="5">
      <w:numFmt w:val="bullet"/>
      <w:lvlText w:val="•"/>
      <w:lvlJc w:val="left"/>
      <w:pPr>
        <w:ind w:left="5740" w:hanging="360"/>
      </w:pPr>
    </w:lvl>
    <w:lvl w:ilvl="6">
      <w:numFmt w:val="bullet"/>
      <w:lvlText w:val="•"/>
      <w:lvlJc w:val="left"/>
      <w:pPr>
        <w:ind w:left="6696" w:hanging="360"/>
      </w:pPr>
    </w:lvl>
    <w:lvl w:ilvl="7">
      <w:numFmt w:val="bullet"/>
      <w:lvlText w:val="•"/>
      <w:lvlJc w:val="left"/>
      <w:pPr>
        <w:ind w:left="7652" w:hanging="360"/>
      </w:pPr>
    </w:lvl>
    <w:lvl w:ilvl="8">
      <w:numFmt w:val="bullet"/>
      <w:lvlText w:val="•"/>
      <w:lvlJc w:val="left"/>
      <w:pPr>
        <w:ind w:left="8608" w:hanging="360"/>
      </w:pPr>
    </w:lvl>
  </w:abstractNum>
  <w:abstractNum w:abstractNumId="2" w15:restartNumberingAfterBreak="0">
    <w:nsid w:val="07062648"/>
    <w:multiLevelType w:val="hybridMultilevel"/>
    <w:tmpl w:val="AEB25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08131A"/>
    <w:multiLevelType w:val="hybridMultilevel"/>
    <w:tmpl w:val="1A6CE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C445DB"/>
    <w:multiLevelType w:val="hybridMultilevel"/>
    <w:tmpl w:val="FCDC230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2F120C24"/>
    <w:multiLevelType w:val="hybridMultilevel"/>
    <w:tmpl w:val="C2E0C7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0D2732F"/>
    <w:multiLevelType w:val="hybridMultilevel"/>
    <w:tmpl w:val="3990D8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3207A1"/>
    <w:multiLevelType w:val="hybridMultilevel"/>
    <w:tmpl w:val="AF0CF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FB18A4"/>
    <w:multiLevelType w:val="hybridMultilevel"/>
    <w:tmpl w:val="063A2F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1"/>
  </w:num>
  <w:num w:numId="5">
    <w:abstractNumId w:val="0"/>
  </w:num>
  <w:num w:numId="6">
    <w:abstractNumId w:val="6"/>
  </w:num>
  <w:num w:numId="7">
    <w:abstractNumId w:val="8"/>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5:chartTrackingRefBased/>
  <w15:docId w15:val="{A9532B63-1CF0-4118-B14F-B9917161F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spacing w:after="0" w:line="240" w:lineRule="auto"/>
    </w:pPr>
    <w:rPr>
      <w:rFonts w:ascii="Century Gothic" w:eastAsia="Century Gothic" w:hAnsi="Century Gothic" w:cs="Century Gothic"/>
      <w:lang w:val="en-US"/>
    </w:rPr>
  </w:style>
  <w:style w:type="paragraph" w:styleId="Heading1">
    <w:name w:val="heading 1"/>
    <w:basedOn w:val="Normal"/>
    <w:next w:val="Normal"/>
    <w:link w:val="Heading1Char"/>
    <w:uiPriority w:val="9"/>
    <w:qFormat/>
    <w:pPr>
      <w:adjustRightInd w:val="0"/>
      <w:spacing w:before="100"/>
      <w:ind w:left="233" w:hanging="360"/>
      <w:outlineLvl w:val="0"/>
    </w:pPr>
    <w:rPr>
      <w:rFonts w:asciiTheme="minorHAnsi" w:eastAsiaTheme="minorEastAsia" w:hAnsiTheme="minorHAnsi" w:cs="Maiandra GD"/>
      <w:b/>
      <w:bCs/>
      <w:lang w:val="en-GB" w:eastAsia="en-GB"/>
    </w:rPr>
  </w:style>
  <w:style w:type="paragraph" w:styleId="Heading2">
    <w:name w:val="heading 2"/>
    <w:basedOn w:val="Normal"/>
    <w:next w:val="Normal"/>
    <w:link w:val="Heading2Char"/>
    <w:uiPriority w:val="9"/>
    <w:semiHidden/>
    <w:unhideWhenUsed/>
    <w:qFormat/>
    <w:pPr>
      <w:keepNext/>
      <w:keepLines/>
      <w:widowControl/>
      <w:autoSpaceDE/>
      <w:autoSpaceDN/>
      <w:spacing w:before="40" w:line="256" w:lineRule="auto"/>
      <w:outlineLvl w:val="1"/>
    </w:pPr>
    <w:rPr>
      <w:rFonts w:asciiTheme="majorHAnsi" w:eastAsiaTheme="majorEastAsia" w:hAnsiTheme="majorHAnsi" w:cstheme="majorBidi"/>
      <w:color w:val="2E74B5"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widowControl/>
      <w:tabs>
        <w:tab w:val="center" w:pos="4513"/>
        <w:tab w:val="right" w:pos="9026"/>
      </w:tabs>
      <w:autoSpaceDE/>
      <w:autoSpaceDN/>
    </w:pPr>
    <w:rPr>
      <w:rFonts w:asciiTheme="minorHAnsi" w:eastAsiaTheme="minorHAnsi" w:hAnsiTheme="minorHAnsi" w:cstheme="minorBidi"/>
      <w:lang w:val="en-GB"/>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widowControl/>
      <w:tabs>
        <w:tab w:val="center" w:pos="4513"/>
        <w:tab w:val="right" w:pos="9026"/>
      </w:tabs>
      <w:autoSpaceDE/>
      <w:autoSpaceDN/>
    </w:pPr>
    <w:rPr>
      <w:rFonts w:asciiTheme="minorHAnsi" w:eastAsiaTheme="minorHAnsi" w:hAnsiTheme="minorHAnsi" w:cstheme="minorBidi"/>
      <w:lang w:val="en-GB"/>
    </w:r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uiPriority w:val="1"/>
    <w:rPr>
      <w:rFonts w:eastAsiaTheme="minorEastAsia" w:cs="Maiandra GD"/>
      <w:b/>
      <w:bCs/>
      <w:lang w:eastAsia="en-GB"/>
    </w:rPr>
  </w:style>
  <w:style w:type="paragraph" w:styleId="BodyText">
    <w:name w:val="Body Text"/>
    <w:basedOn w:val="Normal"/>
    <w:link w:val="BodyTextChar"/>
    <w:uiPriority w:val="1"/>
    <w:qFormat/>
    <w:pPr>
      <w:adjustRightInd w:val="0"/>
      <w:ind w:left="593" w:hanging="360"/>
    </w:pPr>
    <w:rPr>
      <w:rFonts w:asciiTheme="majorHAnsi" w:eastAsiaTheme="minorEastAsia" w:hAnsiTheme="majorHAnsi" w:cs="Maiandra GD"/>
      <w:lang w:val="en-GB" w:eastAsia="en-GB"/>
    </w:rPr>
  </w:style>
  <w:style w:type="character" w:customStyle="1" w:styleId="BodyTextChar">
    <w:name w:val="Body Text Char"/>
    <w:basedOn w:val="DefaultParagraphFont"/>
    <w:link w:val="BodyText"/>
    <w:uiPriority w:val="1"/>
    <w:rPr>
      <w:rFonts w:asciiTheme="majorHAnsi" w:eastAsiaTheme="minorEastAsia" w:hAnsiTheme="majorHAnsi" w:cs="Maiandra GD"/>
      <w:lang w:eastAsia="en-GB"/>
    </w:rPr>
  </w:style>
  <w:style w:type="paragraph" w:styleId="Title">
    <w:name w:val="Title"/>
    <w:basedOn w:val="Normal"/>
    <w:next w:val="Normal"/>
    <w:link w:val="TitleChar"/>
    <w:uiPriority w:val="10"/>
    <w:qFormat/>
    <w:pPr>
      <w:adjustRightInd w:val="0"/>
      <w:spacing w:before="80"/>
      <w:ind w:left="1558" w:right="1556"/>
      <w:jc w:val="center"/>
    </w:pPr>
    <w:rPr>
      <w:rFonts w:asciiTheme="majorHAnsi" w:eastAsiaTheme="minorEastAsia" w:hAnsiTheme="majorHAnsi" w:cs="Cambria"/>
      <w:sz w:val="52"/>
      <w:szCs w:val="52"/>
      <w:lang w:val="en-GB" w:eastAsia="en-GB"/>
    </w:rPr>
  </w:style>
  <w:style w:type="character" w:customStyle="1" w:styleId="TitleChar">
    <w:name w:val="Title Char"/>
    <w:basedOn w:val="DefaultParagraphFont"/>
    <w:link w:val="Title"/>
    <w:uiPriority w:val="1"/>
    <w:rPr>
      <w:rFonts w:asciiTheme="majorHAnsi" w:eastAsiaTheme="minorEastAsia" w:hAnsiTheme="majorHAnsi" w:cs="Cambria"/>
      <w:sz w:val="52"/>
      <w:szCs w:val="52"/>
      <w:lang w:eastAsia="en-GB"/>
    </w:rPr>
  </w:style>
  <w:style w:type="paragraph" w:styleId="ListParagraph">
    <w:name w:val="List Paragraph"/>
    <w:basedOn w:val="Normal"/>
    <w:uiPriority w:val="1"/>
    <w:qFormat/>
    <w:pPr>
      <w:adjustRightInd w:val="0"/>
      <w:ind w:left="593" w:hanging="360"/>
      <w:jc w:val="both"/>
    </w:pPr>
    <w:rPr>
      <w:rFonts w:asciiTheme="minorHAnsi" w:eastAsiaTheme="minorEastAsia" w:hAnsiTheme="minorHAnsi" w:cs="Maiandra GD"/>
      <w:szCs w:val="24"/>
      <w:lang w:val="en-GB" w:eastAsia="en-GB"/>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Spacing">
    <w:name w:val="No Spacing"/>
    <w:uiPriority w:val="1"/>
    <w:qFormat/>
    <w:pPr>
      <w:spacing w:after="0" w:line="240" w:lineRule="auto"/>
    </w:p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paragraph" w:styleId="Subtitle">
    <w:name w:val="Subtitle"/>
    <w:basedOn w:val="Normal"/>
    <w:next w:val="Normal"/>
    <w:link w:val="SubtitleChar"/>
    <w:uiPriority w:val="11"/>
    <w:qFormat/>
    <w:pPr>
      <w:widowControl/>
      <w:numPr>
        <w:ilvl w:val="1"/>
      </w:numPr>
      <w:autoSpaceDE/>
      <w:autoSpaceDN/>
      <w:spacing w:after="160" w:line="256" w:lineRule="auto"/>
    </w:pPr>
    <w:rPr>
      <w:rFonts w:asciiTheme="minorHAnsi" w:eastAsiaTheme="minorEastAsia" w:hAnsiTheme="minorHAnsi" w:cstheme="minorBidi"/>
      <w:color w:val="5A5A5A" w:themeColor="text1" w:themeTint="A5"/>
      <w:spacing w:val="15"/>
      <w:lang w:val="en-GB"/>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rFonts w:asciiTheme="minorHAnsi" w:hAnsiTheme="minorHAnsi"/>
      <w:i/>
      <w:iCs/>
      <w:color w:val="404040" w:themeColor="text1" w:themeTint="BF"/>
    </w:rPr>
  </w:style>
  <w:style w:type="character" w:styleId="IntenseEmphasis">
    <w:name w:val="Intense Emphasis"/>
    <w:basedOn w:val="DefaultParagraphFont"/>
    <w:uiPriority w:val="21"/>
    <w:qFormat/>
    <w:rPr>
      <w:rFonts w:asciiTheme="minorHAnsi" w:hAnsiTheme="minorHAnsi"/>
      <w:i/>
      <w:iCs/>
      <w:color w:val="5B9BD5" w:themeColor="accent1"/>
    </w:rPr>
  </w:style>
  <w:style w:type="character" w:styleId="Strong">
    <w:name w:val="Strong"/>
    <w:basedOn w:val="DefaultParagraphFont"/>
    <w:uiPriority w:val="22"/>
    <w:qFormat/>
    <w:rPr>
      <w:rFonts w:asciiTheme="minorHAnsi" w:hAnsiTheme="minorHAnsi"/>
      <w:b/>
      <w:bCs/>
    </w:rPr>
  </w:style>
  <w:style w:type="paragraph" w:styleId="Quote">
    <w:name w:val="Quote"/>
    <w:basedOn w:val="Normal"/>
    <w:next w:val="Normal"/>
    <w:link w:val="QuoteChar"/>
    <w:uiPriority w:val="29"/>
    <w:qFormat/>
    <w:pPr>
      <w:widowControl/>
      <w:autoSpaceDE/>
      <w:autoSpaceDN/>
      <w:spacing w:before="200" w:after="160" w:line="256" w:lineRule="auto"/>
      <w:ind w:left="864" w:right="864"/>
      <w:jc w:val="center"/>
    </w:pPr>
    <w:rPr>
      <w:rFonts w:asciiTheme="minorHAnsi" w:eastAsiaTheme="minorHAnsi" w:hAnsiTheme="minorHAnsi" w:cstheme="minorBidi"/>
      <w:i/>
      <w:iCs/>
      <w:color w:val="404040" w:themeColor="text1" w:themeTint="BF"/>
      <w:lang w:val="en-GB"/>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pPr>
      <w:widowControl/>
      <w:pBdr>
        <w:top w:val="single" w:sz="4" w:space="10" w:color="5B9BD5" w:themeColor="accent1"/>
        <w:bottom w:val="single" w:sz="4" w:space="10" w:color="5B9BD5" w:themeColor="accent1"/>
      </w:pBdr>
      <w:autoSpaceDE/>
      <w:autoSpaceDN/>
      <w:spacing w:before="360" w:after="360" w:line="256" w:lineRule="auto"/>
      <w:ind w:left="864" w:right="864"/>
      <w:jc w:val="center"/>
    </w:pPr>
    <w:rPr>
      <w:rFonts w:asciiTheme="minorHAnsi" w:eastAsiaTheme="minorHAnsi" w:hAnsiTheme="minorHAnsi" w:cstheme="minorBidi"/>
      <w:i/>
      <w:iCs/>
      <w:color w:val="5B9BD5" w:themeColor="accent1"/>
      <w:lang w:val="en-GB"/>
    </w:rPr>
  </w:style>
  <w:style w:type="character" w:customStyle="1" w:styleId="IntenseQuoteChar">
    <w:name w:val="Intense Quote Char"/>
    <w:basedOn w:val="DefaultParagraphFont"/>
    <w:link w:val="IntenseQuote"/>
    <w:uiPriority w:val="30"/>
    <w:rPr>
      <w:i/>
      <w:iCs/>
      <w:color w:val="5B9BD5" w:themeColor="accent1"/>
    </w:rPr>
  </w:style>
  <w:style w:type="character" w:styleId="SubtleReference">
    <w:name w:val="Subtle Reference"/>
    <w:basedOn w:val="DefaultParagraphFont"/>
    <w:uiPriority w:val="31"/>
    <w:qFormat/>
    <w:rPr>
      <w:rFonts w:asciiTheme="majorHAnsi" w:hAnsiTheme="majorHAnsi"/>
      <w:smallCaps/>
      <w:color w:val="5A5A5A" w:themeColor="text1" w:themeTint="A5"/>
    </w:rPr>
  </w:style>
  <w:style w:type="character" w:styleId="IntenseReference">
    <w:name w:val="Intense Reference"/>
    <w:basedOn w:val="DefaultParagraphFont"/>
    <w:uiPriority w:val="32"/>
    <w:qFormat/>
    <w:rPr>
      <w:rFonts w:asciiTheme="minorHAnsi" w:hAnsiTheme="minorHAnsi"/>
      <w:b/>
      <w:bCs/>
      <w:smallCaps/>
      <w:color w:val="5B9BD5" w:themeColor="accent1"/>
      <w:spacing w:val="5"/>
    </w:rPr>
  </w:style>
  <w:style w:type="character" w:styleId="BookTitle">
    <w:name w:val="Book Title"/>
    <w:basedOn w:val="DefaultParagraphFont"/>
    <w:uiPriority w:val="33"/>
    <w:qFormat/>
    <w:rPr>
      <w:rFonts w:asciiTheme="minorHAnsi" w:hAnsiTheme="minorHAnsi"/>
      <w:b/>
      <w:bCs/>
      <w:i/>
      <w:iCs/>
      <w:spacing w:val="5"/>
      <w:sz w:val="22"/>
    </w:rPr>
  </w:style>
  <w:style w:type="paragraph" w:customStyle="1" w:styleId="TableParagraph">
    <w:name w:val="Table Paragraph"/>
    <w:basedOn w:val="Normal"/>
    <w:uiPriority w:val="1"/>
    <w:qFormat/>
    <w:pPr>
      <w:ind w:left="107"/>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Century Gothic" w:eastAsia="Century Gothic" w:hAnsi="Century Gothic" w:cs="Century Gothic"/>
      <w:sz w:val="20"/>
      <w:szCs w:val="20"/>
      <w:lang w:val="en-US"/>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638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nco@eotas.swindon.sch.u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ocaloffer.swindon.gov.uk/home/" TargetMode="Externa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yperlink" Target="https://www.eotas.org/complaints-procedure"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3101</Words>
  <Characters>17681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Hull;Lee Heaven</dc:creator>
  <cp:keywords/>
  <dc:description/>
  <cp:lastModifiedBy>Juliette Baldwin</cp:lastModifiedBy>
  <cp:revision>3</cp:revision>
  <cp:lastPrinted>2022-11-16T15:53:00Z</cp:lastPrinted>
  <dcterms:created xsi:type="dcterms:W3CDTF">2024-10-25T12:42:00Z</dcterms:created>
  <dcterms:modified xsi:type="dcterms:W3CDTF">2024-10-25T12:42:00Z</dcterms:modified>
</cp:coreProperties>
</file>